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assessment: Felicitas Mügge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16.01.2020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Author Pithiva Navan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Year 2003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 Title Double-blind, single dose, cross-over study of the Effects of Pramipexole, Pergolide, and Placebo on Rest Tremor and UPDRS part III in Parkinson's Disease</w:t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ellenraster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LibreOffice/7.2.6.2$Linux_X86_64 LibreOffice_project/20$Build-2</Application>
  <AppVersion>15.0000</AppVersion>
  <Pages>2</Pages>
  <Words>240</Words>
  <Characters>1388</Characters>
  <CharactersWithSpaces>1573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2021-01-16T09:42:00Z</dcterms:created>
  <dc:creator>Felicitas Muegge</dc:creator>
  <dc:description/>
  <dc:language>de-DE</dc:language>
  <cp:lastModifiedBy/>
  <dcterms:modified xsi:type="dcterms:W3CDTF">2022-04-04T16:19:43Z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