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C91BB1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962C64">
        <w:rPr>
          <w:rFonts w:ascii="Helvetica" w:hAnsi="Helvetica"/>
          <w:sz w:val="22"/>
          <w:szCs w:val="22"/>
        </w:rPr>
        <w:t>12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1B7FE5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962C64">
              <w:rPr>
                <w:rFonts w:ascii="Helvetica" w:hAnsi="Helvetica"/>
                <w:sz w:val="22"/>
                <w:szCs w:val="22"/>
              </w:rPr>
              <w:t>O. Pogarell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CEF613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2C64">
              <w:rPr>
                <w:rFonts w:ascii="Helvetica" w:hAnsi="Helvetica"/>
                <w:sz w:val="22"/>
                <w:szCs w:val="22"/>
              </w:rPr>
              <w:t xml:space="preserve"> 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BF3AE12" w:rsidR="004D3A6A" w:rsidRPr="00962C64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2C64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2C6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962C64" w:rsidRPr="00962C64">
              <w:rPr>
                <w:rFonts w:ascii="Helvetica" w:hAnsi="Helvetica"/>
                <w:sz w:val="22"/>
                <w:szCs w:val="22"/>
              </w:rPr>
              <w:t>Pramipexole in patients witg Parkinson's disease and marked drug resistant tremor: a randomised, double blind, placebo controlled multicentre study</w:t>
            </w:r>
          </w:p>
        </w:tc>
      </w:tr>
    </w:tbl>
    <w:p w14:paraId="2E89A62F" w14:textId="5859FDBA" w:rsidR="004D3A6A" w:rsidRPr="00962C6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2C6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0DC4620A" w:rsidR="00330845" w:rsidRPr="00330845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5774176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B173596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61D594E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46FC715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0F3559C2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CC114E3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64AFEC9" w:rsidR="00330845" w:rsidRPr="00F50513" w:rsidRDefault="00962C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B22F8A6" w:rsidR="00330845" w:rsidRPr="00F50513" w:rsidRDefault="00694FC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17A9E242" w:rsidR="00330845" w:rsidRPr="00330845" w:rsidRDefault="00694FC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B59AB4E" w:rsidR="00330845" w:rsidRPr="00F50513" w:rsidRDefault="00694FC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A0DCB6A" w:rsidR="00330845" w:rsidRPr="00F50513" w:rsidRDefault="00694FC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694FC7"/>
    <w:rsid w:val="00883DCA"/>
    <w:rsid w:val="00962C6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2021-01-12T08:54:00Z</dcterms:created>
  <dcterms:modified xsi:type="dcterms:W3CDTF">2021-01-12T14:39:00Z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