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722ECA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C6786">
              <w:rPr>
                <w:rFonts w:ascii="Helvetica" w:hAnsi="Helvetica"/>
                <w:sz w:val="22"/>
                <w:szCs w:val="22"/>
              </w:rPr>
              <w:t xml:space="preserve">Rahimi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B0E0E0C" w:rsidR="004D3A6A" w:rsidRPr="007C6786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C6786">
              <w:rPr>
                <w:rFonts w:ascii="Helvetica" w:hAnsi="Helvetica"/>
                <w:sz w:val="22"/>
                <w:szCs w:val="22"/>
              </w:rPr>
              <w:t>2015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46D04EEA" w14:textId="77777777" w:rsidR="007C6786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537235D" w14:textId="77777777" w:rsidR="007C6786" w:rsidRDefault="007C6786" w:rsidP="007C6786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 xml:space="preserve">Effective management of upper limb parkinsonian tremor by </w:t>
            </w:r>
            <w:proofErr w:type="spellStart"/>
            <w:r>
              <w:rPr>
                <w:rFonts w:ascii="Calibri" w:hAnsi="Calibri" w:cs="Calibri"/>
                <w:color w:val="000000"/>
              </w:rPr>
              <w:t>incobotulinumtoxina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injections using sensor-based biomechanical patterns</w:t>
            </w:r>
          </w:p>
          <w:p w14:paraId="307C2056" w14:textId="394C7FD1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41B810E1" w:rsidR="00330845" w:rsidRPr="00330845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CF388E6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5645A742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492E6CB6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61BBDA39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2372BE57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7E6F2BF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6DFCC3DA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201E9B2" w:rsidR="00330845" w:rsidRPr="00330845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0FB05B58" w:rsidR="00330845" w:rsidRPr="00330845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65F207F9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35AD27E9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1BF6FBFD" w:rsidR="00330845" w:rsidRPr="00330845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352F249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71B212A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060268B9" w:rsidR="00330845" w:rsidRPr="00F50513" w:rsidRDefault="007C678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ᰵƐԅȁ܁Ȇ܅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54C96"/>
    <w:rsid w:val="004B55CD"/>
    <w:rsid w:val="004C508E"/>
    <w:rsid w:val="004D3A6A"/>
    <w:rsid w:val="0061561E"/>
    <w:rsid w:val="007C6786"/>
    <w:rsid w:val="00965DFF"/>
    <w:rsid w:val="00A707DA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2021-04-14T08:44:00Z</dcterms:created>
  <dcterms:modified xsi:type="dcterms:W3CDTF">2021-04-14T08:44:00Z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