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1398498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A431B5">
        <w:rPr>
          <w:rFonts w:ascii="Helvetica" w:hAnsi="Helvetica"/>
          <w:sz w:val="22"/>
          <w:szCs w:val="22"/>
        </w:rPr>
        <w:t>08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FC9344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431B5">
              <w:rPr>
                <w:rFonts w:ascii="Helvetica" w:hAnsi="Helvetica"/>
                <w:sz w:val="22"/>
                <w:szCs w:val="22"/>
              </w:rPr>
              <w:t>Y. Wang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751E64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A431B5">
              <w:rPr>
                <w:rFonts w:ascii="Helvetica" w:hAnsi="Helvetica"/>
                <w:sz w:val="22"/>
                <w:szCs w:val="22"/>
              </w:rPr>
              <w:t xml:space="preserve"> 2017</w:t>
            </w:r>
          </w:p>
        </w:tc>
      </w:tr>
      <w:tr w:rsidR="004D3A6A" w:rsidRPr="008C4F93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793DA2E" w:rsidR="004D3A6A" w:rsidRPr="008C4F93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8C4F93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8C4F93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C4F93" w:rsidRPr="008C4F93">
              <w:rPr>
                <w:rFonts w:ascii="Helvetica" w:hAnsi="Helvetica"/>
                <w:sz w:val="22"/>
                <w:szCs w:val="22"/>
              </w:rPr>
              <w:t>Analysis of pramipexole dose-response relationships in Parkinson's disease</w:t>
            </w:r>
          </w:p>
        </w:tc>
      </w:tr>
    </w:tbl>
    <w:p w14:paraId="2E89A62F" w14:textId="5859FDBA" w:rsidR="004D3A6A" w:rsidRPr="008C4F9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8C4F9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CEEED5F" w:rsidR="00330845" w:rsidRPr="00330845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7175C44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6E5DA0A6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44F9806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AA5341F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361544F7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EB74ECE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32E2C3B" w:rsidR="00330845" w:rsidRPr="00330845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D647C5E" w:rsidR="00330845" w:rsidRPr="00330845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BDF1E20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329F51F8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2518577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571AFA4E" w:rsidR="00330845" w:rsidRPr="00330845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6080DE6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E0A0CF2" w:rsidR="00330845" w:rsidRPr="00F50513" w:rsidRDefault="00A431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846E79"/>
    <w:rsid w:val="008C4F93"/>
    <w:rsid w:val="00A431B5"/>
    <w:rsid w:val="00B771D4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5</cp:revision>
  <dcterms:created xsi:type="dcterms:W3CDTF">2021-01-08T09:58:00Z</dcterms:created>
  <dcterms:modified xsi:type="dcterms:W3CDTF">2021-01-08T10:04:00Z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