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42395B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D00EA">
              <w:rPr>
                <w:rFonts w:ascii="Helvetica" w:hAnsi="Helvetica"/>
                <w:sz w:val="22"/>
                <w:szCs w:val="22"/>
              </w:rPr>
              <w:t xml:space="preserve">Elke </w:t>
            </w:r>
            <w:proofErr w:type="spellStart"/>
            <w:r w:rsidR="00CD00EA">
              <w:rPr>
                <w:rFonts w:ascii="Helvetica" w:hAnsi="Helvetica"/>
                <w:sz w:val="22"/>
                <w:szCs w:val="22"/>
              </w:rPr>
              <w:t>Hartelt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523FA6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D00EA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8EFE63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D00EA" w:rsidRPr="00CD00EA">
              <w:rPr>
                <w:rFonts w:ascii="Helvetica" w:hAnsi="Helvetica"/>
                <w:sz w:val="22"/>
                <w:szCs w:val="22"/>
              </w:rPr>
              <w:t xml:space="preserve">Parkinson's </w:t>
            </w:r>
            <w:proofErr w:type="spellStart"/>
            <w:r w:rsidR="00CD00EA" w:rsidRPr="00CD00EA">
              <w:rPr>
                <w:rFonts w:ascii="Helvetica" w:hAnsi="Helvetica"/>
                <w:sz w:val="22"/>
                <w:szCs w:val="22"/>
              </w:rPr>
              <w:t>Diease</w:t>
            </w:r>
            <w:proofErr w:type="spellEnd"/>
            <w:r w:rsidR="00CD00EA" w:rsidRPr="00CD00EA">
              <w:rPr>
                <w:rFonts w:ascii="Helvetica" w:hAnsi="Helvetica"/>
                <w:sz w:val="22"/>
                <w:szCs w:val="22"/>
              </w:rPr>
              <w:t xml:space="preserve"> Multimodal Complex Treatment (PD-MCT): Analysis of Therapeutic effects and Predictors for Improvement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04B14B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B0470C" w:rsidR="00330845" w:rsidRPr="00F50513" w:rsidRDefault="00CD0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D30886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38A280B6" w:rsidR="00330845" w:rsidRPr="00F50513" w:rsidRDefault="00CD0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587239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9EEB448" w:rsidR="00330845" w:rsidRPr="00330845" w:rsidRDefault="00CD0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45F41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CD00EA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2021-05-28T13:14:00Z</dcterms:created>
  <dcterms:modified xsi:type="dcterms:W3CDTF">2021-05-28T13:15:00Z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