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5706010A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058E4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84CB78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058E4">
        <w:rPr>
          <w:rFonts w:ascii="Helvetica" w:hAnsi="Helvetica"/>
          <w:sz w:val="22"/>
          <w:szCs w:val="22"/>
        </w:rPr>
        <w:t xml:space="preserve"> 07.01.2020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24D7DD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5058E4">
              <w:rPr>
                <w:rFonts w:ascii="Helvetica" w:hAnsi="Helvetica"/>
                <w:sz w:val="22"/>
                <w:szCs w:val="22"/>
              </w:rPr>
              <w:t xml:space="preserve"> Andrew J. Hughes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96614B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5058E4">
              <w:rPr>
                <w:rFonts w:ascii="Helvetica" w:hAnsi="Helvetica"/>
                <w:sz w:val="22"/>
                <w:szCs w:val="22"/>
              </w:rPr>
              <w:t xml:space="preserve"> 1990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30A36D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5058E4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058E4" w:rsidRPr="005058E4">
              <w:rPr>
                <w:rFonts w:ascii="Helvetica" w:hAnsi="Helvetica"/>
                <w:sz w:val="22"/>
                <w:szCs w:val="22"/>
              </w:rPr>
              <w:t>Apomorphine in the Diagnosis and Treatment of Parkinsonian Tremor</w:t>
            </w:r>
          </w:p>
        </w:tc>
      </w:tr>
    </w:tbl>
    <w:p w14:paraId="2E89A62F" w14:textId="5859FDBA" w:rsidR="004D3A6A" w:rsidRPr="005058E4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5058E4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49E6EE96" w:rsidR="00330845" w:rsidRPr="00330845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2CFA4D7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02CC5802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625A100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15140A9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2E2DD507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CD93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62F068A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5063B5A2" w:rsidR="00330845" w:rsidRPr="00330845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68B0E922" w:rsidR="00330845" w:rsidRPr="00330845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C1EF2B9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1DACEB0D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3673CEA3" w:rsidR="00330845" w:rsidRPr="00330845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77CAE61B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DEA9943" w:rsidR="00330845" w:rsidRPr="00F50513" w:rsidRDefault="005058E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5058E4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5058E4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330845"/>
    <w:rsid w:val="003F238A"/>
    <w:rsid w:val="004D3A6A"/>
    <w:rsid w:val="005058E4"/>
    <w:rsid w:val="0061561E"/>
    <w:rsid w:val="00BD4ED6"/>
    <w:rsid w:val="00F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2021-01-07T10:06:00Z</dcterms:created>
  <dcterms:modified xsi:type="dcterms:W3CDTF">2021-01-07T10:08:00Z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