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653B2675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56052">
        <w:rPr>
          <w:rFonts w:ascii="Helvetica" w:hAnsi="Helvetica"/>
          <w:sz w:val="22"/>
          <w:szCs w:val="22"/>
        </w:rPr>
        <w:t>06.06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61ACF8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256052">
              <w:rPr>
                <w:rFonts w:ascii="Helvetica" w:hAnsi="Helvetica"/>
                <w:sz w:val="22"/>
                <w:szCs w:val="22"/>
              </w:rPr>
              <w:t>W.H. Jost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52F193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256052">
              <w:rPr>
                <w:rFonts w:ascii="Helvetica" w:hAnsi="Helvetica"/>
                <w:sz w:val="22"/>
                <w:szCs w:val="22"/>
              </w:rPr>
              <w:t>2008</w:t>
            </w:r>
          </w:p>
        </w:tc>
      </w:tr>
      <w:tr w:rsidR="004D3A6A" w:rsidRPr="00256052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4CBE7EDD" w:rsidR="004D3A6A" w:rsidRPr="00256052" w:rsidRDefault="004D3A6A" w:rsidP="00976636">
            <w:pPr>
              <w:rPr>
                <w:rFonts w:ascii="Helvetica" w:hAnsi="Helvetica"/>
                <w:sz w:val="22"/>
                <w:szCs w:val="22"/>
                <w:lang w:val="de-DE"/>
              </w:rPr>
            </w:pPr>
            <w:r w:rsidRPr="00256052">
              <w:rPr>
                <w:rFonts w:ascii="Helvetica" w:hAnsi="Helvetica"/>
                <w:sz w:val="22"/>
                <w:szCs w:val="22"/>
                <w:lang w:val="de-DE"/>
              </w:rPr>
              <w:t>Article Title</w:t>
            </w:r>
            <w:r w:rsidR="000A799E" w:rsidRPr="00256052">
              <w:rPr>
                <w:rFonts w:ascii="Helvetica" w:hAnsi="Helvetica"/>
                <w:sz w:val="22"/>
                <w:szCs w:val="22"/>
                <w:lang w:val="de-DE"/>
              </w:rPr>
              <w:t xml:space="preserve"> </w:t>
            </w:r>
            <w:r w:rsidR="00256052" w:rsidRPr="00256052">
              <w:rPr>
                <w:rFonts w:ascii="Helvetica" w:hAnsi="Helvetica"/>
                <w:sz w:val="22"/>
                <w:szCs w:val="22"/>
                <w:lang w:val="de-DE"/>
              </w:rPr>
              <w:t>Rasagilin im klinischen Alltag - Ergebnisse einer Anwendungsbeobachtung bei Parkinson-Patienten mit einer Kombinationstherapie</w:t>
            </w:r>
          </w:p>
        </w:tc>
      </w:tr>
    </w:tbl>
    <w:p w14:paraId="2E89A62F" w14:textId="5859FDBA" w:rsidR="004D3A6A" w:rsidRPr="00256052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p w14:paraId="1BF4C905" w14:textId="77777777" w:rsidR="004D3A6A" w:rsidRPr="00256052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315C7D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343AC97" w:rsidR="00330845" w:rsidRPr="00F50513" w:rsidRDefault="0025605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0DCA727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5640C4CB" w:rsidR="00330845" w:rsidRPr="00F50513" w:rsidRDefault="0025605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2A96447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66212E5A" w:rsidR="00330845" w:rsidRPr="00F50513" w:rsidRDefault="0025605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21FC1F0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970E45C" w:rsidR="00330845" w:rsidRPr="00F50513" w:rsidRDefault="0025605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15B0B9B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5AF575B0" w:rsidR="00330845" w:rsidRPr="00F50513" w:rsidRDefault="0025605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04CD6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37D1F7C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0D1B53A7" w:rsidR="00330845" w:rsidRPr="00330845" w:rsidRDefault="0025605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3AC6F9D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6C64F6A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41A5376" w:rsidR="00330845" w:rsidRPr="00F50513" w:rsidRDefault="0025605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4100BD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54754C80" w:rsidR="00330845" w:rsidRPr="00F50513" w:rsidRDefault="0025605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3304A8C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54CB07A5" w:rsidR="00330845" w:rsidRPr="00330845" w:rsidRDefault="0025605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0BF137B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7B0B6906" w:rsidR="00330845" w:rsidRPr="00F50513" w:rsidRDefault="0025605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5F255C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7FC90DDA" w:rsidR="00330845" w:rsidRPr="00F50513" w:rsidRDefault="0025605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56052"/>
    <w:rsid w:val="00296574"/>
    <w:rsid w:val="0030425D"/>
    <w:rsid w:val="00306D08"/>
    <w:rsid w:val="00330845"/>
    <w:rsid w:val="003646DE"/>
    <w:rsid w:val="003F238A"/>
    <w:rsid w:val="00447441"/>
    <w:rsid w:val="004C508E"/>
    <w:rsid w:val="004D3A6A"/>
    <w:rsid w:val="005C02EC"/>
    <w:rsid w:val="0061561E"/>
    <w:rsid w:val="00622191"/>
    <w:rsid w:val="00965DFF"/>
    <w:rsid w:val="00A01E93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2021-06-06T17:02:00Z</dcterms:created>
  <dcterms:modified xsi:type="dcterms:W3CDTF">2021-06-06T17:08:00Z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