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3A17F54E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A5330">
        <w:rPr>
          <w:rFonts w:ascii="Helvetica" w:hAnsi="Helvetica"/>
          <w:sz w:val="22"/>
          <w:szCs w:val="22"/>
        </w:rPr>
        <w:t>08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77C8A4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65001">
              <w:rPr>
                <w:rFonts w:ascii="Helvetica" w:hAnsi="Helvetica"/>
                <w:sz w:val="22"/>
                <w:szCs w:val="22"/>
              </w:rPr>
              <w:t>Masahira Nomoto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5FBF84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265001">
              <w:rPr>
                <w:rFonts w:ascii="Helvetica" w:hAnsi="Helvetica"/>
                <w:sz w:val="22"/>
                <w:szCs w:val="22"/>
              </w:rPr>
              <w:t xml:space="preserve"> 2018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55CC0A5" w:rsidR="004D3A6A" w:rsidRPr="00265001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265001">
              <w:rPr>
                <w:rFonts w:ascii="Helvetica" w:hAnsi="Helvetica"/>
                <w:sz w:val="22"/>
                <w:szCs w:val="22"/>
              </w:rPr>
              <w:t>Article Title</w:t>
            </w:r>
            <w:r w:rsidR="00265001" w:rsidRPr="00265001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65001" w:rsidRPr="00265001">
              <w:rPr>
                <w:rFonts w:ascii="Helvetica" w:hAnsi="Helvetica"/>
                <w:sz w:val="22"/>
                <w:szCs w:val="22"/>
              </w:rPr>
              <w:t xml:space="preserve">Efficacy and safety of rotigotine in elderly patients with Parkinson's disease in comparison with the non-elderly: a post-hoc analysis of randomized, double-blind, placebo-controlled trials </w:t>
            </w:r>
            <w:r w:rsidR="000A799E" w:rsidRPr="00265001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265001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265001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707C5B32" w:rsidR="00330845" w:rsidRPr="00330845" w:rsidRDefault="002650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029540D" w:rsidR="00330845" w:rsidRPr="00F50513" w:rsidRDefault="002650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85106CB" w:rsidR="00330845" w:rsidRPr="00F50513" w:rsidRDefault="002650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0D00CCDD" w:rsidR="00330845" w:rsidRPr="00F50513" w:rsidRDefault="002650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6F9A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410AD510" w:rsidR="00330845" w:rsidRPr="00F50513" w:rsidRDefault="002650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7D6C44B" w:rsidR="00330845" w:rsidRPr="00F50513" w:rsidRDefault="002650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56556921" w:rsidR="00330845" w:rsidRPr="00F50513" w:rsidRDefault="002650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59C24EC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33E5AF3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4DDD53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0D49FE92" w:rsidR="00330845" w:rsidRPr="00330845" w:rsidRDefault="002650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6B31E1A3" w:rsidR="00330845" w:rsidRPr="00330845" w:rsidRDefault="002650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Analytic methods described/justified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and appropriate?</w:t>
            </w:r>
          </w:p>
        </w:tc>
        <w:tc>
          <w:tcPr>
            <w:tcW w:w="1134" w:type="dxa"/>
          </w:tcPr>
          <w:p w14:paraId="2A1186EF" w14:textId="73AA21CC" w:rsidR="00330845" w:rsidRPr="00F50513" w:rsidRDefault="0026500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lastRenderedPageBreak/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AF44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586B14A6" w:rsidR="00330845" w:rsidRPr="00F50513" w:rsidRDefault="0027205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1F041A05" w:rsidR="00330845" w:rsidRPr="00330845" w:rsidRDefault="0027205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B66F300" w:rsidR="00330845" w:rsidRPr="00F50513" w:rsidRDefault="0027205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7854841" w:rsidR="00330845" w:rsidRPr="00F50513" w:rsidRDefault="0027205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265001"/>
    <w:rsid w:val="0027205A"/>
    <w:rsid w:val="00330845"/>
    <w:rsid w:val="003F238A"/>
    <w:rsid w:val="0042758D"/>
    <w:rsid w:val="004D3A6A"/>
    <w:rsid w:val="0061561E"/>
    <w:rsid w:val="008A5330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2021-01-08T17:30:00Z</dcterms:created>
  <dcterms:modified xsi:type="dcterms:W3CDTF">2021-01-08T18:24:00Z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