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DF35B88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710CC3">
        <w:rPr>
          <w:rFonts w:ascii="Helvetica" w:hAnsi="Helvetica"/>
          <w:sz w:val="22"/>
          <w:szCs w:val="22"/>
        </w:rPr>
        <w:t>11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49B21A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10CC3">
              <w:rPr>
                <w:rFonts w:ascii="Helvetica" w:hAnsi="Helvetica"/>
                <w:sz w:val="22"/>
                <w:szCs w:val="22"/>
              </w:rPr>
              <w:t>P. Rondot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121ED4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710CC3">
              <w:rPr>
                <w:rFonts w:ascii="Helvetica" w:hAnsi="Helvetica"/>
                <w:sz w:val="22"/>
                <w:szCs w:val="22"/>
              </w:rPr>
              <w:t xml:space="preserve"> 1992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712C3CF" w:rsidR="004D3A6A" w:rsidRPr="00710CC3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710CC3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710CC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10CC3" w:rsidRPr="00710CC3">
              <w:rPr>
                <w:rFonts w:ascii="Helvetica" w:hAnsi="Helvetica"/>
                <w:sz w:val="22"/>
                <w:szCs w:val="22"/>
              </w:rPr>
              <w:t>Activity and acceptability of piribedil in Parkinson's disease: a multicentre study</w:t>
            </w:r>
          </w:p>
        </w:tc>
      </w:tr>
    </w:tbl>
    <w:p w14:paraId="2E89A62F" w14:textId="5859FDBA" w:rsidR="004D3A6A" w:rsidRPr="00710CC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710CC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2C0B661F" w:rsidR="00330845" w:rsidRPr="00330845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37EDC26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4D08A9B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F6205E5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D9FAE6F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88FA04E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905937A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D260E5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800C90A" w:rsidR="00330845" w:rsidRPr="00330845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012D6FB6" w:rsidR="00330845" w:rsidRPr="00330845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7233BE2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2DBD31BC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E29B610" w:rsidR="00330845" w:rsidRPr="00330845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13A6991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F0ACC7" w:rsidR="00330845" w:rsidRPr="00F50513" w:rsidRDefault="00710CC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00034"/>
    <w:rsid w:val="004D3A6A"/>
    <w:rsid w:val="0061561E"/>
    <w:rsid w:val="00710CC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2021-01-11T17:03:00Z</dcterms:created>
  <dcterms:modified xsi:type="dcterms:W3CDTF">2021-01-11T17:05:00Z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