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511341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E10FE">
        <w:rPr>
          <w:rFonts w:ascii="Helvetica" w:hAnsi="Helvetica"/>
          <w:sz w:val="22"/>
          <w:szCs w:val="22"/>
        </w:rPr>
        <w:t>28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80FB80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C508E">
              <w:rPr>
                <w:rFonts w:ascii="Helvetica" w:hAnsi="Helvetica"/>
                <w:sz w:val="22"/>
                <w:szCs w:val="22"/>
              </w:rPr>
              <w:t xml:space="preserve">Tedeschi, G. 1990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D2CECA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8E10FE">
              <w:rPr>
                <w:rFonts w:ascii="Helvetica" w:hAnsi="Helvetica"/>
                <w:sz w:val="22"/>
                <w:szCs w:val="22"/>
              </w:rPr>
              <w:t xml:space="preserve"> 1990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CB9BBFA" w:rsidR="004D3A6A" w:rsidRPr="008E10FE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8E10FE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8E10F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E10FE" w:rsidRPr="008E10FE">
              <w:rPr>
                <w:rFonts w:ascii="Helvetica" w:hAnsi="Helvetica"/>
                <w:sz w:val="22"/>
                <w:szCs w:val="22"/>
              </w:rPr>
              <w:t>Tremor in Parkinson disease: acute response to oral levodopa</w:t>
            </w:r>
          </w:p>
        </w:tc>
      </w:tr>
    </w:tbl>
    <w:p w14:paraId="2E89A62F" w14:textId="5859FDBA" w:rsidR="004D3A6A" w:rsidRPr="008E10F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8E10F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1EF97A82" w:rsidR="00330845" w:rsidRPr="00330845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3DD8C77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56296C2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23E6F09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10233D5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FBCA5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1E5B42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E9FB61C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301A46C9" w:rsidR="00330845" w:rsidRPr="00330845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B1A5519" w:rsidR="00330845" w:rsidRPr="00330845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C3F963F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E73B398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7BDBDB6" w:rsidR="00330845" w:rsidRPr="00330845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523D3BE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A7F1E0D" w:rsidR="00330845" w:rsidRPr="00F50513" w:rsidRDefault="00A401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1D113B"/>
    <w:rsid w:val="00330845"/>
    <w:rsid w:val="003F238A"/>
    <w:rsid w:val="004C508E"/>
    <w:rsid w:val="004D3A6A"/>
    <w:rsid w:val="0061561E"/>
    <w:rsid w:val="008E10FE"/>
    <w:rsid w:val="00A4018B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2021-01-28T13:01:00Z</dcterms:created>
  <dcterms:modified xsi:type="dcterms:W3CDTF">2021-01-28T13:04:00Z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