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rFonts w:ascii="Calibri" w:cs="Calibri" w:eastAsia="Calibri" w:hAnsi="Calibri"/>
          <w:b/>
          <w:bCs/>
          <w:color w:val="2C74C2"/>
          <w:sz w:val="20"/>
          <w:szCs w:val="20"/>
        </w:rPr>
        <w:t xml:space="preserve">INFORME DE FUNCIONAMIENTO</w:t>
      </w:r>
    </w:p>
    <w:p>
      <w:pPr>
        <w:spacing w:after="160" w:before="120"/>
      </w:pPr>
      <w:r>
        <w:rPr>
          <w:rFonts w:ascii="Calibri" w:cs="Calibri" w:eastAsia="Calibri" w:hAnsi="Calibri"/>
          <w:b/>
          <w:bCs/>
          <w:color w:val="0D2A4D"/>
          <w:sz w:val="56"/>
          <w:szCs w:val="56"/>
        </w:rPr>
        <w:t xml:space="preserve">Matriz Administrativa de Obligaciones</w:t>
      </w:r>
    </w:p>
    <w:p>
      <w:pPr>
        <w:spacing w:after="340"/>
      </w:pPr>
      <w:r>
        <w:rPr>
          <w:i/>
          <w:iCs/>
          <w:color w:val="3C4C63"/>
          <w:sz w:val="24"/>
          <w:szCs w:val="24"/>
        </w:rPr>
        <w:t xml:space="preserve">Mockup interactivo de alta fidelidad para el control de obligaciones, vencimientos, evidencias y recordatorios de Laarcourier, Laar Seguridad y Virtual Create</w:t>
      </w:r>
    </w:p>
    <w:p>
      <w:pPr>
        <w:pBdr>
          <w:top w:val="single" w:color="D9E0EB" w:sz="4" w:space="10"/>
        </w:pBdr>
        <w:spacing w:after="40" w:before="80"/>
      </w:pPr>
      <w:r>
        <w:rPr>
          <w:b/>
          <w:bCs/>
          <w:color w:val="164B86"/>
          <w:sz w:val="19"/>
          <w:szCs w:val="19"/>
        </w:rPr>
        <w:t xml:space="preserve">Preparado para</w:t>
      </w:r>
    </w:p>
    <w:p>
      <w:pPr>
        <w:spacing w:after="200" w:line="288"/>
        <w:jc w:val="both"/>
      </w:pPr>
      <w:r>
        <w:rPr>
          <w:rFonts w:ascii="Calibri" w:cs="Calibri" w:eastAsia="Calibri" w:hAnsi="Calibri"/>
          <w:b w:val="false"/>
          <w:bCs w:val="false"/>
          <w:i w:val="false"/>
          <w:iCs w:val="false"/>
          <w:color w:val="1A2333"/>
          <w:sz w:val="21"/>
          <w:szCs w:val="21"/>
        </w:rPr>
        <w:t xml:space="preserve">Laarcourier Express S.A. · Laar Seguridad Cía. Ltda. · Virtual Create S.A.</w:t>
      </w:r>
    </w:p>
    <w:p>
      <w:pPr>
        <w:spacing w:after="40" w:before="0"/>
      </w:pPr>
      <w:r>
        <w:rPr>
          <w:b/>
          <w:bCs/>
          <w:color w:val="164B86"/>
          <w:sz w:val="19"/>
          <w:szCs w:val="19"/>
        </w:rPr>
        <w:t xml:space="preserve">Fecha</w:t>
      </w:r>
    </w:p>
    <w:p>
      <w:pPr>
        <w:spacing w:after="200" w:line="288"/>
        <w:jc w:val="both"/>
      </w:pPr>
      <w:r>
        <w:rPr>
          <w:rFonts w:ascii="Calibri" w:cs="Calibri" w:eastAsia="Calibri" w:hAnsi="Calibri"/>
          <w:b w:val="false"/>
          <w:bCs w:val="false"/>
          <w:i w:val="false"/>
          <w:iCs w:val="false"/>
          <w:color w:val="1A2333"/>
          <w:sz w:val="21"/>
          <w:szCs w:val="21"/>
        </w:rPr>
        <w:t xml:space="preserve">1 de septiembre de 2026</w:t>
      </w:r>
    </w:p>
    <w:p>
      <w:pPr>
        <w:spacing w:after="40" w:before="0"/>
      </w:pPr>
      <w:r>
        <w:rPr>
          <w:b/>
          <w:bCs/>
          <w:color w:val="164B86"/>
          <w:sz w:val="19"/>
          <w:szCs w:val="19"/>
        </w:rPr>
        <w:t xml:space="preserve">Naturaleza del entregable</w:t>
      </w:r>
    </w:p>
    <w:p>
      <w:pPr>
        <w:spacing w:after="200" w:line="288"/>
        <w:jc w:val="both"/>
      </w:pPr>
      <w:r>
        <w:rPr>
          <w:rFonts w:ascii="Calibri" w:cs="Calibri" w:eastAsia="Calibri" w:hAnsi="Calibri"/>
          <w:b w:val="false"/>
          <w:bCs w:val="false"/>
          <w:i w:val="false"/>
          <w:iCs w:val="false"/>
          <w:color w:val="1A2333"/>
          <w:sz w:val="21"/>
          <w:szCs w:val="21"/>
        </w:rPr>
        <w:t xml:space="preserve">Mockup navegable con datos ficticios. No está conectado a sistemas de producción; sirve para validar el diseño, el flujo operativo y las reglas de negocio antes de construir la versión real.</w:t>
      </w:r>
    </w:p>
    <w:p>
      <w:r>
        <w:br w:type="page"/>
      </w:r>
    </w:p>
    <w:p>
      <w:pPr>
        <w:pStyle w:val="Heading1"/>
        <w:pBdr>
          <w:bottom w:val="single" w:color="164B86" w:sz="8" w:space="6"/>
        </w:pBdr>
        <w:spacing w:after="160" w:before="340"/>
      </w:pPr>
      <w:r>
        <w:rPr>
          <w:rFonts w:ascii="Calibri" w:cs="Calibri" w:eastAsia="Calibri" w:hAnsi="Calibri"/>
          <w:b/>
          <w:bCs/>
          <w:color w:val="0D2A4D"/>
          <w:sz w:val="30"/>
          <w:szCs w:val="30"/>
        </w:rPr>
        <w:t xml:space="preserve">1. Resumen ejecutivo</w:t>
      </w:r>
    </w:p>
    <w:p>
      <w:pPr>
        <w:spacing w:after="160" w:line="288"/>
        <w:jc w:val="both"/>
      </w:pPr>
      <w:r>
        <w:rPr>
          <w:rFonts w:ascii="Calibri" w:cs="Calibri" w:eastAsia="Calibri" w:hAnsi="Calibri"/>
          <w:b w:val="false"/>
          <w:bCs w:val="false"/>
          <w:i w:val="false"/>
          <w:iCs w:val="false"/>
          <w:color w:val="1A2333"/>
          <w:sz w:val="21"/>
          <w:szCs w:val="21"/>
        </w:rPr>
        <w:t xml:space="preserve">La Matriz Administrativa de Obligaciones es un mockup interactivo, navegable de principio a fin, que muestra cómo funcionaría un sistema único para centralizar las obligaciones regulatorias, contractuales e internas del grupo (Laarcourier, Laar Seguridad y Virtual Create): quién es responsable de cada una, cuándo vence, qué evidencia la respalda y quién debe validar su cierre.</w:t>
      </w:r>
    </w:p>
    <w:p>
      <w:pPr>
        <w:spacing w:after="160" w:line="288"/>
        <w:jc w:val="both"/>
      </w:pPr>
      <w:r>
        <w:rPr>
          <w:rFonts w:ascii="Calibri" w:cs="Calibri" w:eastAsia="Calibri" w:hAnsi="Calibri"/>
          <w:b w:val="false"/>
          <w:bCs w:val="false"/>
          <w:i w:val="false"/>
          <w:iCs w:val="false"/>
          <w:color w:val="1A2333"/>
          <w:sz w:val="21"/>
          <w:szCs w:val="21"/>
        </w:rPr>
        <w:t xml:space="preserve">No es una presentación estática: se puede iniciar sesión, crear una obligación, asignar un responsable, consultar un vencimiento, cargar un PDF de evidencia, simular un recordatorio por correo y finalizar el cierre — el mismo recorrido que seguiría el equipo administrativo en el día a día. Todo el contenido (personas, correos, fechas) es ficticio; la estructura de áreas, entidades de control y fundamentos legales se basó en la matriz legal y los detalles de nómina que la empresa ya tenía documentados.</w:t>
      </w:r>
    </w:p>
    <w:p>
      <w:pPr>
        <w:spacing w:after="160" w:line="288"/>
        <w:jc w:val="both"/>
      </w:pPr>
      <w:r>
        <w:rPr>
          <w:rFonts w:ascii="Calibri" w:cs="Calibri" w:eastAsia="Calibri" w:hAnsi="Calibri"/>
          <w:b w:val="false"/>
          <w:bCs w:val="false"/>
          <w:i w:val="false"/>
          <w:iCs w:val="false"/>
          <w:color w:val="1A2333"/>
          <w:sz w:val="21"/>
          <w:szCs w:val="21"/>
        </w:rPr>
        <w:t xml:space="preserve">Este informe explica qué hace el mockup, cómo funciona por dentro y, sobre todo, en qué le va a ayudar a la operación antes de invertir en la versión de producción.</w:t>
      </w:r>
    </w:p>
    <w:p>
      <w:pPr>
        <w:pStyle w:val="Heading1"/>
        <w:pBdr>
          <w:bottom w:val="single" w:color="164B86" w:sz="8" w:space="6"/>
        </w:pBdr>
        <w:spacing w:after="160" w:before="340"/>
      </w:pPr>
      <w:r>
        <w:rPr>
          <w:rFonts w:ascii="Calibri" w:cs="Calibri" w:eastAsia="Calibri" w:hAnsi="Calibri"/>
          <w:b/>
          <w:bCs/>
          <w:color w:val="0D2A4D"/>
          <w:sz w:val="30"/>
          <w:szCs w:val="30"/>
        </w:rPr>
        <w:t xml:space="preserve">2. Objetivo del mockup</w:t>
      </w:r>
    </w:p>
    <w:p>
      <w:pPr>
        <w:spacing w:after="160" w:line="288"/>
        <w:jc w:val="both"/>
      </w:pPr>
      <w:r>
        <w:rPr>
          <w:rFonts w:ascii="Calibri" w:cs="Calibri" w:eastAsia="Calibri" w:hAnsi="Calibri"/>
          <w:b w:val="false"/>
          <w:bCs w:val="false"/>
          <w:i w:val="false"/>
          <w:iCs w:val="false"/>
          <w:color w:val="1A2333"/>
          <w:sz w:val="21"/>
          <w:szCs w:val="21"/>
        </w:rPr>
        <w:t xml:space="preserve">Antes de construir un sistema real —con base de datos, almacenamiento de documentos y envío de correos automáticos— conviene validar con el equipo administrativo y con la gerencia si el diseño, los campos, las reglas de estado y los flujos de aprobación reflejan cómo realmente se trabaja. El objetivo de este mockup es exactamente ese: dar algo tangible para probar, corregir y aprobar antes de comprometer tiempo de desarrollo en la versión definitiva.</w:t>
      </w:r>
    </w:p>
    <w:p>
      <w:pPr>
        <w:pStyle w:val="ListParagraph"/>
        <w:numPr>
          <w:ilvl w:val="0"/>
          <w:numId w:val="2"/>
        </w:numPr>
        <w:spacing w:after="90" w:line="276"/>
      </w:pPr>
      <w:r>
        <w:rPr>
          <w:rFonts w:ascii="Calibri" w:cs="Calibri" w:eastAsia="Calibri" w:hAnsi="Calibri"/>
          <w:b/>
          <w:bCs/>
          <w:color w:val="0D2A4D"/>
          <w:sz w:val="21"/>
          <w:szCs w:val="21"/>
        </w:rPr>
        <w:t xml:space="preserve">Validar el modelo de datos: </w:t>
      </w:r>
      <w:r>
        <w:rPr>
          <w:rFonts w:ascii="Calibri" w:cs="Calibri" w:eastAsia="Calibri" w:hAnsi="Calibri"/>
          <w:color w:val="1A2333"/>
          <w:sz w:val="21"/>
          <w:szCs w:val="21"/>
        </w:rPr>
        <w:t xml:space="preserve">Validar si los campos capturados por obligación (responsable, suplente, supervisor, aprobador, prioridad, evidencia, historial) son los correctos y si falta alguno.</w:t>
      </w:r>
    </w:p>
    <w:p>
      <w:pPr>
        <w:pStyle w:val="ListParagraph"/>
        <w:numPr>
          <w:ilvl w:val="0"/>
          <w:numId w:val="2"/>
        </w:numPr>
        <w:spacing w:after="90" w:line="276"/>
      </w:pPr>
      <w:r>
        <w:rPr>
          <w:rFonts w:ascii="Calibri" w:cs="Calibri" w:eastAsia="Calibri" w:hAnsi="Calibri"/>
          <w:b/>
          <w:bCs/>
          <w:color w:val="0D2A4D"/>
          <w:sz w:val="21"/>
          <w:szCs w:val="21"/>
        </w:rPr>
        <w:t xml:space="preserve">Validar las reglas de negocio: </w:t>
      </w:r>
      <w:r>
        <w:rPr>
          <w:rFonts w:ascii="Calibri" w:cs="Calibri" w:eastAsia="Calibri" w:hAnsi="Calibri"/>
          <w:color w:val="1A2333"/>
          <w:sz w:val="21"/>
          <w:szCs w:val="21"/>
        </w:rPr>
        <w:t xml:space="preserve">Confirmar si las reglas de estado (cuándo algo pasa a "Incumplido", qué significa "Finalizada fuera de plazo") corresponden a cómo la empresa mide realmente el cumplimiento.</w:t>
      </w:r>
    </w:p>
    <w:p>
      <w:pPr>
        <w:pStyle w:val="ListParagraph"/>
        <w:numPr>
          <w:ilvl w:val="0"/>
          <w:numId w:val="2"/>
        </w:numPr>
        <w:spacing w:after="90" w:line="276"/>
      </w:pPr>
      <w:r>
        <w:rPr>
          <w:rFonts w:ascii="Calibri" w:cs="Calibri" w:eastAsia="Calibri" w:hAnsi="Calibri"/>
          <w:b/>
          <w:bCs/>
          <w:color w:val="0D2A4D"/>
          <w:sz w:val="21"/>
          <w:szCs w:val="21"/>
        </w:rPr>
        <w:t xml:space="preserve">Probar los roles: </w:t>
      </w:r>
      <w:r>
        <w:rPr>
          <w:rFonts w:ascii="Calibri" w:cs="Calibri" w:eastAsia="Calibri" w:hAnsi="Calibri"/>
          <w:color w:val="1A2333"/>
          <w:sz w:val="21"/>
          <w:szCs w:val="21"/>
        </w:rPr>
        <w:t xml:space="preserve">Que cada perfil (Administrador, Responsable, Supervisor/Aprobador, Auditor) vea y pueda hacer solo lo que le corresponde.</w:t>
      </w:r>
    </w:p>
    <w:p>
      <w:pPr>
        <w:pStyle w:val="ListParagraph"/>
        <w:numPr>
          <w:ilvl w:val="0"/>
          <w:numId w:val="2"/>
        </w:numPr>
        <w:spacing w:after="90" w:line="276"/>
      </w:pPr>
      <w:r>
        <w:rPr>
          <w:rFonts w:ascii="Calibri" w:cs="Calibri" w:eastAsia="Calibri" w:hAnsi="Calibri"/>
          <w:b/>
          <w:bCs/>
          <w:color w:val="0D2A4D"/>
          <w:sz w:val="21"/>
          <w:szCs w:val="21"/>
        </w:rPr>
        <w:t xml:space="preserve">Preparar el paso a producción: </w:t>
      </w:r>
      <w:r>
        <w:rPr>
          <w:rFonts w:ascii="Calibri" w:cs="Calibri" w:eastAsia="Calibri" w:hAnsi="Calibri"/>
          <w:color w:val="1A2333"/>
          <w:sz w:val="21"/>
          <w:szCs w:val="21"/>
        </w:rPr>
        <w:t xml:space="preserve">Servir de base de requerimientos para cotizar y priorizar el desarrollo de la versión conectada a producción.</w:t>
      </w:r>
    </w:p>
    <w:p>
      <w:pPr>
        <w:pStyle w:val="Heading1"/>
        <w:pBdr>
          <w:bottom w:val="single" w:color="164B86" w:sz="8" w:space="6"/>
        </w:pBdr>
        <w:spacing w:after="160" w:before="340"/>
      </w:pPr>
      <w:r>
        <w:rPr>
          <w:rFonts w:ascii="Calibri" w:cs="Calibri" w:eastAsia="Calibri" w:hAnsi="Calibri"/>
          <w:b/>
          <w:bCs/>
          <w:color w:val="0D2A4D"/>
          <w:sz w:val="30"/>
          <w:szCs w:val="30"/>
        </w:rPr>
        <w:t xml:space="preserve">3. Alcance funcional</w:t>
      </w:r>
    </w:p>
    <w:p>
      <w:pPr>
        <w:spacing w:after="160" w:line="288"/>
        <w:jc w:val="both"/>
      </w:pPr>
      <w:r>
        <w:rPr>
          <w:rFonts w:ascii="Calibri" w:cs="Calibri" w:eastAsia="Calibri" w:hAnsi="Calibri"/>
          <w:b w:val="false"/>
          <w:bCs w:val="false"/>
          <w:i w:val="false"/>
          <w:iCs w:val="false"/>
          <w:color w:val="1A2333"/>
          <w:sz w:val="21"/>
          <w:szCs w:val="21"/>
        </w:rPr>
        <w:t xml:space="preserve">El mockup está organizado en seis módulos, accesibles desde el menú lateral una vez se inicia sesión:</w:t>
      </w:r>
    </w:p>
    <w:tbl>
      <w:tblPr>
        <w:tblW w:type="dxa" w:w="9860"/>
        <w:tblBorders>
          <w:top w:val="single" w:color="D9E0EB" w:sz="4"/>
          <w:left w:val="single" w:color="D9E0EB" w:sz="4"/>
          <w:bottom w:val="single" w:color="D9E0EB" w:sz="4"/>
          <w:right w:val="single" w:color="D9E0EB" w:sz="4"/>
          <w:insideH w:val="single" w:color="D9E0EB" w:sz="4"/>
          <w:insideV w:val="single" w:color="D9E0EB" w:sz="4"/>
        </w:tblBorders>
      </w:tblPr>
      <w:tblGrid>
        <w:gridCol w:w="1900"/>
        <w:gridCol w:w="7960"/>
      </w:tblGrid>
      <w:tr>
        <w:trPr>
          <w:tblHeader/>
        </w:trPr>
        <w:tc>
          <w:tcPr>
            <w:tcW w:type="dxa" w:w="1900"/>
            <w:shd w:fill="164B86"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Módulo</w:t>
            </w:r>
          </w:p>
        </w:tc>
        <w:tc>
          <w:tcPr>
            <w:tcW w:type="dxa" w:w="7960"/>
            <w:shd w:fill="164B86"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Qué muestra</w:t>
            </w:r>
          </w:p>
        </w:tc>
      </w:tr>
      <w:tr>
        <w:tc>
          <w:tcPr>
            <w:tcW w:type="dxa" w:w="1900"/>
            <w:tcMar>
              <w:top w:type="dxa" w:w="90"/>
              <w:left w:type="dxa" w:w="110"/>
              <w:bottom w:type="dxa" w:w="90"/>
              <w:right w:type="dxa" w:w="110"/>
            </w:tcMar>
            <w:vAlign w:val="center"/>
          </w:tcPr>
          <w:p>
            <w:r>
              <w:rPr>
                <w:rFonts w:ascii="Calibri" w:cs="Calibri" w:eastAsia="Calibri" w:hAnsi="Calibri"/>
                <w:b w:val="false"/>
                <w:bCs w:val="false"/>
                <w:color w:val="1A2333"/>
                <w:sz w:val="19"/>
                <w:szCs w:val="19"/>
              </w:rPr>
              <w:t xml:space="preserve">Resumen</w:t>
            </w:r>
          </w:p>
        </w:tc>
        <w:tc>
          <w:tcPr>
            <w:tcW w:type="dxa" w:w="7960"/>
            <w:tcMar>
              <w:top w:type="dxa" w:w="90"/>
              <w:left w:type="dxa" w:w="110"/>
              <w:bottom w:type="dxa" w:w="90"/>
              <w:right w:type="dxa" w:w="110"/>
            </w:tcMar>
            <w:vAlign w:val="center"/>
          </w:tcPr>
          <w:p>
            <w:r>
              <w:rPr>
                <w:rFonts w:ascii="Calibri" w:cs="Calibri" w:eastAsia="Calibri" w:hAnsi="Calibri"/>
                <w:b w:val="false"/>
                <w:bCs w:val="false"/>
                <w:color w:val="1A2333"/>
                <w:sz w:val="19"/>
                <w:szCs w:val="19"/>
              </w:rPr>
              <w:t xml:space="preserve">Indicadores del tablero activo: obligaciones incumplidas, en progreso, próximas a vencer y finalizadas (distinguiendo cumplimiento a tiempo de cumplimiento tardío), próximos vencimientos y cierres recientes.</w:t>
            </w:r>
          </w:p>
        </w:tc>
      </w:tr>
      <w:tr>
        <w:tc>
          <w:tcPr>
            <w:tcW w:type="dxa" w:w="1900"/>
            <w:shd w:fill="F6F8FB" w:color="auto" w:val="clear"/>
            <w:tcMar>
              <w:top w:type="dxa" w:w="90"/>
              <w:left w:type="dxa" w:w="110"/>
              <w:bottom w:type="dxa" w:w="90"/>
              <w:right w:type="dxa" w:w="110"/>
            </w:tcMar>
            <w:vAlign w:val="center"/>
          </w:tcPr>
          <w:p>
            <w:r>
              <w:rPr>
                <w:rFonts w:ascii="Calibri" w:cs="Calibri" w:eastAsia="Calibri" w:hAnsi="Calibri"/>
                <w:b w:val="false"/>
                <w:bCs w:val="false"/>
                <w:color w:val="1A2333"/>
                <w:sz w:val="19"/>
                <w:szCs w:val="19"/>
              </w:rPr>
              <w:t xml:space="preserve">Matriz de obligaciones</w:t>
            </w:r>
          </w:p>
        </w:tc>
        <w:tc>
          <w:tcPr>
            <w:tcW w:type="dxa" w:w="7960"/>
            <w:shd w:fill="F6F8FB" w:color="auto" w:val="clear"/>
            <w:tcMar>
              <w:top w:type="dxa" w:w="90"/>
              <w:left w:type="dxa" w:w="110"/>
              <w:bottom w:type="dxa" w:w="90"/>
              <w:right w:type="dxa" w:w="110"/>
            </w:tcMar>
            <w:vAlign w:val="center"/>
          </w:tcPr>
          <w:p>
            <w:r>
              <w:rPr>
                <w:rFonts w:ascii="Calibri" w:cs="Calibri" w:eastAsia="Calibri" w:hAnsi="Calibri"/>
                <w:b w:val="false"/>
                <w:bCs w:val="false"/>
                <w:color w:val="1A2333"/>
                <w:sz w:val="19"/>
                <w:szCs w:val="19"/>
              </w:rPr>
              <w:t xml:space="preserve">Tabla (o tarjetas en celular) con cada obligación y su período: área, entidad, responsable, vencimiento, días restantes o de atraso, estado y acciones. Con búsqueda, filtros y agrupación "por área" o "por entidad".</w:t>
            </w:r>
          </w:p>
        </w:tc>
      </w:tr>
      <w:tr>
        <w:tc>
          <w:tcPr>
            <w:tcW w:type="dxa" w:w="1900"/>
            <w:tcMar>
              <w:top w:type="dxa" w:w="90"/>
              <w:left w:type="dxa" w:w="110"/>
              <w:bottom w:type="dxa" w:w="90"/>
              <w:right w:type="dxa" w:w="110"/>
            </w:tcMar>
            <w:vAlign w:val="center"/>
          </w:tcPr>
          <w:p>
            <w:r>
              <w:rPr>
                <w:rFonts w:ascii="Calibri" w:cs="Calibri" w:eastAsia="Calibri" w:hAnsi="Calibri"/>
                <w:b w:val="false"/>
                <w:bCs w:val="false"/>
                <w:color w:val="1A2333"/>
                <w:sz w:val="19"/>
                <w:szCs w:val="19"/>
              </w:rPr>
              <w:t xml:space="preserve">Calendario</w:t>
            </w:r>
          </w:p>
        </w:tc>
        <w:tc>
          <w:tcPr>
            <w:tcW w:type="dxa" w:w="7960"/>
            <w:tcMar>
              <w:top w:type="dxa" w:w="90"/>
              <w:left w:type="dxa" w:w="110"/>
              <w:bottom w:type="dxa" w:w="90"/>
              <w:right w:type="dxa" w:w="110"/>
            </w:tcMar>
            <w:vAlign w:val="center"/>
          </w:tcPr>
          <w:p>
            <w:r>
              <w:rPr>
                <w:rFonts w:ascii="Calibri" w:cs="Calibri" w:eastAsia="Calibri" w:hAnsi="Calibri"/>
                <w:b w:val="false"/>
                <w:bCs w:val="false"/>
                <w:color w:val="1A2333"/>
                <w:sz w:val="19"/>
                <w:szCs w:val="19"/>
              </w:rPr>
              <w:t xml:space="preserve">Vista mensual de todos los vencimientos, coloreados por estado, con acceso directo al detalle de cada uno.</w:t>
            </w:r>
          </w:p>
        </w:tc>
      </w:tr>
      <w:tr>
        <w:tc>
          <w:tcPr>
            <w:tcW w:type="dxa" w:w="1900"/>
            <w:shd w:fill="F6F8FB" w:color="auto" w:val="clear"/>
            <w:tcMar>
              <w:top w:type="dxa" w:w="90"/>
              <w:left w:type="dxa" w:w="110"/>
              <w:bottom w:type="dxa" w:w="90"/>
              <w:right w:type="dxa" w:w="110"/>
            </w:tcMar>
            <w:vAlign w:val="center"/>
          </w:tcPr>
          <w:p>
            <w:r>
              <w:rPr>
                <w:rFonts w:ascii="Calibri" w:cs="Calibri" w:eastAsia="Calibri" w:hAnsi="Calibri"/>
                <w:b w:val="false"/>
                <w:bCs w:val="false"/>
                <w:color w:val="1A2333"/>
                <w:sz w:val="19"/>
                <w:szCs w:val="19"/>
              </w:rPr>
              <w:t xml:space="preserve">Documentos</w:t>
            </w:r>
          </w:p>
        </w:tc>
        <w:tc>
          <w:tcPr>
            <w:tcW w:type="dxa" w:w="7960"/>
            <w:shd w:fill="F6F8FB" w:color="auto" w:val="clear"/>
            <w:tcMar>
              <w:top w:type="dxa" w:w="90"/>
              <w:left w:type="dxa" w:w="110"/>
              <w:bottom w:type="dxa" w:w="90"/>
              <w:right w:type="dxa" w:w="110"/>
            </w:tcMar>
            <w:vAlign w:val="center"/>
          </w:tcPr>
          <w:p>
            <w:r>
              <w:rPr>
                <w:rFonts w:ascii="Calibri" w:cs="Calibri" w:eastAsia="Calibri" w:hAnsi="Calibri"/>
                <w:b w:val="false"/>
                <w:bCs w:val="false"/>
                <w:color w:val="1A2333"/>
                <w:sz w:val="19"/>
                <w:szCs w:val="19"/>
              </w:rPr>
              <w:t xml:space="preserve">Repositorio de evidencias en PDF agrupado en "con evidencia" y "pendientes de evidencia", con acceso al expediente completo de cada período.</w:t>
            </w:r>
          </w:p>
        </w:tc>
      </w:tr>
      <w:tr>
        <w:tc>
          <w:tcPr>
            <w:tcW w:type="dxa" w:w="1900"/>
            <w:tcMar>
              <w:top w:type="dxa" w:w="90"/>
              <w:left w:type="dxa" w:w="110"/>
              <w:bottom w:type="dxa" w:w="90"/>
              <w:right w:type="dxa" w:w="110"/>
            </w:tcMar>
            <w:vAlign w:val="center"/>
          </w:tcPr>
          <w:p>
            <w:r>
              <w:rPr>
                <w:rFonts w:ascii="Calibri" w:cs="Calibri" w:eastAsia="Calibri" w:hAnsi="Calibri"/>
                <w:b w:val="false"/>
                <w:bCs w:val="false"/>
                <w:color w:val="1A2333"/>
                <w:sz w:val="19"/>
                <w:szCs w:val="19"/>
              </w:rPr>
              <w:t xml:space="preserve">Reportes</w:t>
            </w:r>
          </w:p>
        </w:tc>
        <w:tc>
          <w:tcPr>
            <w:tcW w:type="dxa" w:w="7960"/>
            <w:tcMar>
              <w:top w:type="dxa" w:w="90"/>
              <w:left w:type="dxa" w:w="110"/>
              <w:bottom w:type="dxa" w:w="90"/>
              <w:right w:type="dxa" w:w="110"/>
            </w:tcMar>
            <w:vAlign w:val="center"/>
          </w:tcPr>
          <w:p>
            <w:r>
              <w:rPr>
                <w:rFonts w:ascii="Calibri" w:cs="Calibri" w:eastAsia="Calibri" w:hAnsi="Calibri"/>
                <w:b w:val="false"/>
                <w:bCs w:val="false"/>
                <w:color w:val="1A2333"/>
                <w:sz w:val="19"/>
                <w:szCs w:val="19"/>
              </w:rPr>
              <w:t xml:space="preserve">Cumplimiento a tiempo vs. tardío, e incumplimiento actual y en progreso, desglosado por área y por entidad de control, con exportación (simulada) a PDF/Excel.</w:t>
            </w:r>
          </w:p>
        </w:tc>
      </w:tr>
      <w:tr>
        <w:tc>
          <w:tcPr>
            <w:tcW w:type="dxa" w:w="1900"/>
            <w:shd w:fill="F6F8FB" w:color="auto" w:val="clear"/>
            <w:tcMar>
              <w:top w:type="dxa" w:w="90"/>
              <w:left w:type="dxa" w:w="110"/>
              <w:bottom w:type="dxa" w:w="90"/>
              <w:right w:type="dxa" w:w="110"/>
            </w:tcMar>
            <w:vAlign w:val="center"/>
          </w:tcPr>
          <w:p>
            <w:r>
              <w:rPr>
                <w:rFonts w:ascii="Calibri" w:cs="Calibri" w:eastAsia="Calibri" w:hAnsi="Calibri"/>
                <w:b w:val="false"/>
                <w:bCs w:val="false"/>
                <w:color w:val="1A2333"/>
                <w:sz w:val="19"/>
                <w:szCs w:val="19"/>
              </w:rPr>
              <w:t xml:space="preserve">Configuración</w:t>
            </w:r>
          </w:p>
        </w:tc>
        <w:tc>
          <w:tcPr>
            <w:tcW w:type="dxa" w:w="7960"/>
            <w:shd w:fill="F6F8FB" w:color="auto" w:val="clear"/>
            <w:tcMar>
              <w:top w:type="dxa" w:w="90"/>
              <w:left w:type="dxa" w:w="110"/>
              <w:bottom w:type="dxa" w:w="90"/>
              <w:right w:type="dxa" w:w="110"/>
            </w:tcMar>
            <w:vAlign w:val="center"/>
          </w:tcPr>
          <w:p>
            <w:r>
              <w:rPr>
                <w:rFonts w:ascii="Calibri" w:cs="Calibri" w:eastAsia="Calibri" w:hAnsi="Calibri"/>
                <w:b w:val="false"/>
                <w:bCs w:val="false"/>
                <w:color w:val="1A2333"/>
                <w:sz w:val="19"/>
                <w:szCs w:val="19"/>
              </w:rPr>
              <w:t xml:space="preserve">Datos de la empresa (nombre, país, actividad, huso horario), reglas de recordatorios, usuarios y roles, historial de auditoría, y una sección que documenta qué está simulado y qué requerirá conexión real.</w:t>
            </w:r>
          </w:p>
        </w:tc>
      </w:tr>
    </w:tbl>
    <w:p>
      <w:pPr>
        <w:spacing w:after="220" w:before="40"/>
      </w:pPr>
      <w:r>
        <w:rPr>
          <w:rFonts w:ascii="Calibri" w:cs="Calibri" w:eastAsia="Calibri" w:hAnsi="Calibri"/>
          <w:i/>
          <w:iCs/>
          <w:color w:val="3C4C63"/>
          <w:sz w:val="17"/>
          <w:szCs w:val="17"/>
        </w:rPr>
        <w:t xml:space="preserve">Tabla 1. Módulos del mockup y su contenido.</w:t>
      </w:r>
    </w:p>
    <w:p>
      <w:pPr>
        <w:pStyle w:val="Heading1"/>
        <w:pBdr>
          <w:bottom w:val="single" w:color="164B86" w:sz="8" w:space="6"/>
        </w:pBdr>
        <w:spacing w:after="160" w:before="340"/>
      </w:pPr>
      <w:r>
        <w:rPr>
          <w:rFonts w:ascii="Calibri" w:cs="Calibri" w:eastAsia="Calibri" w:hAnsi="Calibri"/>
          <w:b/>
          <w:bCs/>
          <w:color w:val="0D2A4D"/>
          <w:sz w:val="30"/>
          <w:szCs w:val="30"/>
        </w:rPr>
        <w:t xml:space="preserve">4. Cómo funciona</w:t>
      </w:r>
    </w:p>
    <w:p>
      <w:pPr>
        <w:pStyle w:val="Heading2"/>
        <w:spacing w:after="110" w:before="260"/>
      </w:pPr>
      <w:r>
        <w:rPr>
          <w:rFonts w:ascii="Calibri" w:cs="Calibri" w:eastAsia="Calibri" w:hAnsi="Calibri"/>
          <w:b/>
          <w:bCs/>
          <w:color w:val="164B86"/>
          <w:sz w:val="24"/>
          <w:szCs w:val="24"/>
        </w:rPr>
        <w:t xml:space="preserve">4.1 El flujo de una obligación</w:t>
      </w:r>
    </w:p>
    <w:p>
      <w:pPr>
        <w:spacing w:after="160" w:line="288"/>
        <w:jc w:val="both"/>
      </w:pPr>
      <w:r>
        <w:rPr>
          <w:rFonts w:ascii="Calibri" w:cs="Calibri" w:eastAsia="Calibri" w:hAnsi="Calibri"/>
          <w:b w:val="false"/>
          <w:bCs w:val="false"/>
          <w:i w:val="false"/>
          <w:iCs w:val="false"/>
          <w:color w:val="1A2333"/>
          <w:sz w:val="21"/>
          <w:szCs w:val="21"/>
        </w:rPr>
        <w:t xml:space="preserve">Cada obligación recurrente (por ejemplo, "Declaración de IVA") se separa de sus vencimientos individuales: cada mes o período tiene su propio registro, con su propia evidencia, su propio estado y su propio historial. El recorrido típico es:</w:t>
      </w:r>
    </w:p>
    <w:p>
      <w:pPr>
        <w:pStyle w:val="ListParagraph"/>
        <w:numPr>
          <w:ilvl w:val="0"/>
          <w:numId w:val="2"/>
        </w:numPr>
        <w:spacing w:after="90" w:line="276"/>
      </w:pPr>
      <w:r>
        <w:rPr>
          <w:rFonts w:ascii="Calibri" w:cs="Calibri" w:eastAsia="Calibri" w:hAnsi="Calibri"/>
          <w:b/>
          <w:bCs/>
          <w:color w:val="0D2A4D"/>
          <w:sz w:val="21"/>
          <w:szCs w:val="21"/>
        </w:rPr>
        <w:t xml:space="preserve">1. Crear la obligación — </w:t>
      </w:r>
      <w:r>
        <w:rPr>
          <w:rFonts w:ascii="Calibri" w:cs="Calibri" w:eastAsia="Calibri" w:hAnsi="Calibri"/>
          <w:color w:val="1A2333"/>
          <w:sz w:val="21"/>
          <w:szCs w:val="21"/>
        </w:rPr>
        <w:t xml:space="preserve">Se registra con código, nombre, descripción, área, entidad de control, tipo (regulatoria, contractual o interna), periodicidad y fuente o fundamento.</w:t>
      </w:r>
    </w:p>
    <w:p>
      <w:pPr>
        <w:pStyle w:val="ListParagraph"/>
        <w:numPr>
          <w:ilvl w:val="0"/>
          <w:numId w:val="2"/>
        </w:numPr>
        <w:spacing w:after="90" w:line="276"/>
      </w:pPr>
      <w:r>
        <w:rPr>
          <w:rFonts w:ascii="Calibri" w:cs="Calibri" w:eastAsia="Calibri" w:hAnsi="Calibri"/>
          <w:b/>
          <w:bCs/>
          <w:color w:val="0D2A4D"/>
          <w:sz w:val="21"/>
          <w:szCs w:val="21"/>
        </w:rPr>
        <w:t xml:space="preserve">2. Asignar responsable — </w:t>
      </w:r>
      <w:r>
        <w:rPr>
          <w:rFonts w:ascii="Calibri" w:cs="Calibri" w:eastAsia="Calibri" w:hAnsi="Calibri"/>
          <w:color w:val="1A2333"/>
          <w:sz w:val="21"/>
          <w:szCs w:val="21"/>
        </w:rPr>
        <w:t xml:space="preserve">Se define quién la ejecuta (responsable y correo), quién la cubre si falta (suplente), quién la supervisa y quién la aprueba.</w:t>
      </w:r>
    </w:p>
    <w:p>
      <w:pPr>
        <w:pStyle w:val="ListParagraph"/>
        <w:numPr>
          <w:ilvl w:val="0"/>
          <w:numId w:val="2"/>
        </w:numPr>
        <w:spacing w:after="90" w:line="276"/>
      </w:pPr>
      <w:r>
        <w:rPr>
          <w:rFonts w:ascii="Calibri" w:cs="Calibri" w:eastAsia="Calibri" w:hAnsi="Calibri"/>
          <w:b/>
          <w:bCs/>
          <w:color w:val="0D2A4D"/>
          <w:sz w:val="21"/>
          <w:szCs w:val="21"/>
        </w:rPr>
        <w:t xml:space="preserve">3. Consultar el vencimiento — </w:t>
      </w:r>
      <w:r>
        <w:rPr>
          <w:rFonts w:ascii="Calibri" w:cs="Calibri" w:eastAsia="Calibri" w:hAnsi="Calibri"/>
          <w:color w:val="1A2333"/>
          <w:sz w:val="21"/>
          <w:szCs w:val="21"/>
        </w:rPr>
        <w:t xml:space="preserve">El sistema calcula en vivo los días restantes o de atraso frente a la fecha y hora límite configurada.</w:t>
      </w:r>
    </w:p>
    <w:p>
      <w:pPr>
        <w:pStyle w:val="ListParagraph"/>
        <w:numPr>
          <w:ilvl w:val="0"/>
          <w:numId w:val="2"/>
        </w:numPr>
        <w:spacing w:after="90" w:line="276"/>
      </w:pPr>
      <w:r>
        <w:rPr>
          <w:rFonts w:ascii="Calibri" w:cs="Calibri" w:eastAsia="Calibri" w:hAnsi="Calibri"/>
          <w:b/>
          <w:bCs/>
          <w:color w:val="0D2A4D"/>
          <w:sz w:val="21"/>
          <w:szCs w:val="21"/>
        </w:rPr>
        <w:t xml:space="preserve">4. Recibir recordatorios — </w:t>
      </w:r>
      <w:r>
        <w:rPr>
          <w:rFonts w:ascii="Calibri" w:cs="Calibri" w:eastAsia="Calibri" w:hAnsi="Calibri"/>
          <w:color w:val="1A2333"/>
          <w:sz w:val="21"/>
          <w:szCs w:val="21"/>
        </w:rPr>
        <w:t xml:space="preserve">El responsable recibiría avisos automáticos antes del vencimiento (aquí, simulados).</w:t>
      </w:r>
    </w:p>
    <w:p>
      <w:pPr>
        <w:pStyle w:val="ListParagraph"/>
        <w:numPr>
          <w:ilvl w:val="0"/>
          <w:numId w:val="2"/>
        </w:numPr>
        <w:spacing w:after="90" w:line="276"/>
      </w:pPr>
      <w:r>
        <w:rPr>
          <w:rFonts w:ascii="Calibri" w:cs="Calibri" w:eastAsia="Calibri" w:hAnsi="Calibri"/>
          <w:b/>
          <w:bCs/>
          <w:color w:val="0D2A4D"/>
          <w:sz w:val="21"/>
          <w:szCs w:val="21"/>
        </w:rPr>
        <w:t xml:space="preserve">5. Cargar evidencia — </w:t>
      </w:r>
      <w:r>
        <w:rPr>
          <w:rFonts w:ascii="Calibri" w:cs="Calibri" w:eastAsia="Calibri" w:hAnsi="Calibri"/>
          <w:color w:val="1A2333"/>
          <w:sz w:val="21"/>
          <w:szCs w:val="21"/>
        </w:rPr>
        <w:t xml:space="preserve">Se sube el PDF que respalda el cumplimiento (formulario, comprobante, permiso, póliza, etc.).</w:t>
      </w:r>
    </w:p>
    <w:p>
      <w:pPr>
        <w:pStyle w:val="ListParagraph"/>
        <w:numPr>
          <w:ilvl w:val="0"/>
          <w:numId w:val="2"/>
        </w:numPr>
        <w:spacing w:after="90" w:line="276"/>
      </w:pPr>
      <w:r>
        <w:rPr>
          <w:rFonts w:ascii="Calibri" w:cs="Calibri" w:eastAsia="Calibri" w:hAnsi="Calibri"/>
          <w:b/>
          <w:bCs/>
          <w:color w:val="0D2A4D"/>
          <w:sz w:val="21"/>
          <w:szCs w:val="21"/>
        </w:rPr>
        <w:t xml:space="preserve">6. Revisar — </w:t>
      </w:r>
      <w:r>
        <w:rPr>
          <w:rFonts w:ascii="Calibri" w:cs="Calibri" w:eastAsia="Calibri" w:hAnsi="Calibri"/>
          <w:color w:val="1A2333"/>
          <w:sz w:val="21"/>
          <w:szCs w:val="21"/>
        </w:rPr>
        <w:t xml:space="preserve">El responsable envía el período a validación; el supervisor o un administrador revisa la evidencia.</w:t>
      </w:r>
    </w:p>
    <w:p>
      <w:pPr>
        <w:pStyle w:val="ListParagraph"/>
        <w:numPr>
          <w:ilvl w:val="0"/>
          <w:numId w:val="2"/>
        </w:numPr>
        <w:spacing w:after="90" w:line="276"/>
      </w:pPr>
      <w:r>
        <w:rPr>
          <w:rFonts w:ascii="Calibri" w:cs="Calibri" w:eastAsia="Calibri" w:hAnsi="Calibri"/>
          <w:b/>
          <w:bCs/>
          <w:color w:val="0D2A4D"/>
          <w:sz w:val="21"/>
          <w:szCs w:val="21"/>
        </w:rPr>
        <w:t xml:space="preserve">7. Finalizar — </w:t>
      </w:r>
      <w:r>
        <w:rPr>
          <w:rFonts w:ascii="Calibri" w:cs="Calibri" w:eastAsia="Calibri" w:hAnsi="Calibri"/>
          <w:color w:val="1A2333"/>
          <w:sz w:val="21"/>
          <w:szCs w:val="21"/>
        </w:rPr>
        <w:t xml:space="preserve">Al validar, el período queda cerrado y sus recordatorios se suspenden automáticamente.</w:t>
      </w:r>
    </w:p>
    <w:p>
      <w:pPr>
        <w:spacing w:after="160" w:line="288"/>
        <w:jc w:val="both"/>
      </w:pPr>
      <w:r>
        <w:rPr>
          <w:rFonts w:ascii="Calibri" w:cs="Calibri" w:eastAsia="Calibri" w:hAnsi="Calibri"/>
          <w:b w:val="false"/>
          <w:bCs w:val="false"/>
          <w:i w:val="false"/>
          <w:iCs w:val="false"/>
          <w:color w:val="1A2333"/>
          <w:sz w:val="21"/>
          <w:szCs w:val="21"/>
        </w:rPr>
        <w:t xml:space="preserve">Este mismo recorrido puede reproducirse dentro del mockup con el botón "Recorrido guiado", que navega la aplicación real paso a paso.</w:t>
      </w:r>
    </w:p>
    <w:p>
      <w:pPr>
        <w:pStyle w:val="Heading2"/>
        <w:spacing w:after="110" w:before="260"/>
      </w:pPr>
      <w:r>
        <w:rPr>
          <w:rFonts w:ascii="Calibri" w:cs="Calibri" w:eastAsia="Calibri" w:hAnsi="Calibri"/>
          <w:b/>
          <w:bCs/>
          <w:color w:val="164B86"/>
          <w:sz w:val="24"/>
          <w:szCs w:val="24"/>
        </w:rPr>
        <w:t xml:space="preserve">4.2 Estados y reglas de cumplimiento</w:t>
      </w:r>
    </w:p>
    <w:p>
      <w:pPr>
        <w:spacing w:after="160" w:line="288"/>
        <w:jc w:val="both"/>
      </w:pPr>
      <w:r>
        <w:rPr>
          <w:rFonts w:ascii="Calibri" w:cs="Calibri" w:eastAsia="Calibri" w:hAnsi="Calibri"/>
          <w:b w:val="false"/>
          <w:bCs w:val="false"/>
          <w:i w:val="false"/>
          <w:iCs w:val="false"/>
          <w:color w:val="1A2333"/>
          <w:sz w:val="21"/>
          <w:szCs w:val="21"/>
        </w:rPr>
        <w:t xml:space="preserve">El estado de cada período se calcula automáticamente contra la fecha y hora actuales — no es un campo que alguien deba actualizar manualmente:</w:t>
      </w:r>
    </w:p>
    <w:tbl>
      <w:tblPr>
        <w:tblW w:type="dxa" w:w="9860"/>
        <w:tblBorders>
          <w:top w:val="single" w:color="D9E0EB" w:sz="4"/>
          <w:left w:val="single" w:color="D9E0EB" w:sz="4"/>
          <w:bottom w:val="single" w:color="D9E0EB" w:sz="4"/>
          <w:right w:val="single" w:color="D9E0EB" w:sz="4"/>
          <w:insideH w:val="single" w:color="D9E0EB" w:sz="4"/>
          <w:insideV w:val="single" w:color="D9E0EB" w:sz="4"/>
        </w:tblBorders>
      </w:tblPr>
      <w:tblGrid>
        <w:gridCol w:w="2000"/>
        <w:gridCol w:w="2400"/>
        <w:gridCol w:w="5460"/>
      </w:tblGrid>
      <w:tr>
        <w:trPr>
          <w:tblHeader/>
        </w:trPr>
        <w:tc>
          <w:tcPr>
            <w:tcW w:type="dxa" w:w="2000"/>
            <w:shd w:fill="164B86"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Estado</w:t>
            </w:r>
          </w:p>
        </w:tc>
        <w:tc>
          <w:tcPr>
            <w:tcW w:type="dxa" w:w="2400"/>
            <w:shd w:fill="164B86"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Color</w:t>
            </w:r>
          </w:p>
        </w:tc>
        <w:tc>
          <w:tcPr>
            <w:tcW w:type="dxa" w:w="5460"/>
            <w:shd w:fill="164B86"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Regla</w:t>
            </w:r>
          </w:p>
        </w:tc>
      </w:tr>
      <w:tr>
        <w:tc>
          <w:tcPr>
            <w:tcW w:type="dxa" w:w="2000"/>
            <w:tcMar>
              <w:top w:type="dxa" w:w="90"/>
              <w:left w:type="dxa" w:w="110"/>
              <w:bottom w:type="dxa" w:w="90"/>
              <w:right w:type="dxa" w:w="110"/>
            </w:tcMar>
            <w:vAlign w:val="center"/>
          </w:tcPr>
          <w:p>
            <w:r>
              <w:rPr>
                <w:rFonts w:ascii="Calibri" w:cs="Calibri" w:eastAsia="Calibri" w:hAnsi="Calibri"/>
                <w:b w:val="false"/>
                <w:bCs w:val="false"/>
                <w:color w:val="1A2333"/>
                <w:sz w:val="19"/>
                <w:szCs w:val="19"/>
              </w:rPr>
              <w:t xml:space="preserve">Incumplido</w:t>
            </w:r>
          </w:p>
        </w:tc>
        <w:tc>
          <w:tcPr>
            <w:tcW w:type="dxa" w:w="2400"/>
            <w:tcMar>
              <w:top w:type="dxa" w:w="90"/>
              <w:left w:type="dxa" w:w="110"/>
              <w:bottom w:type="dxa" w:w="90"/>
              <w:right w:type="dxa" w:w="110"/>
            </w:tcMar>
            <w:vAlign w:val="center"/>
          </w:tcPr>
          <w:p>
            <w:r>
              <w:rPr>
                <w:rFonts w:ascii="Calibri" w:cs="Calibri" w:eastAsia="Calibri" w:hAnsi="Calibri"/>
                <w:b w:val="false"/>
                <w:bCs w:val="false"/>
                <w:color w:val="1A2333"/>
                <w:sz w:val="19"/>
                <w:szCs w:val="19"/>
              </w:rPr>
              <w:t xml:space="preserve">Rojo</w:t>
            </w:r>
          </w:p>
        </w:tc>
        <w:tc>
          <w:tcPr>
            <w:tcW w:type="dxa" w:w="5460"/>
            <w:tcMar>
              <w:top w:type="dxa" w:w="90"/>
              <w:left w:type="dxa" w:w="110"/>
              <w:bottom w:type="dxa" w:w="90"/>
              <w:right w:type="dxa" w:w="110"/>
            </w:tcMar>
            <w:vAlign w:val="center"/>
          </w:tcPr>
          <w:p>
            <w:r>
              <w:rPr>
                <w:rFonts w:ascii="Calibri" w:cs="Calibri" w:eastAsia="Calibri" w:hAnsi="Calibri"/>
                <w:b w:val="false"/>
                <w:bCs w:val="false"/>
                <w:color w:val="1A2333"/>
                <w:sz w:val="19"/>
                <w:szCs w:val="19"/>
              </w:rPr>
              <w:t xml:space="preserve">Se aplica automáticamente al superar la fecha y hora de vencimiento sin un cierre validado. Conserva los días de atraso para los reportes.</w:t>
            </w:r>
          </w:p>
        </w:tc>
      </w:tr>
      <w:tr>
        <w:tc>
          <w:tcPr>
            <w:tcW w:type="dxa" w:w="2000"/>
            <w:shd w:fill="F6F8FB" w:color="auto" w:val="clear"/>
            <w:tcMar>
              <w:top w:type="dxa" w:w="90"/>
              <w:left w:type="dxa" w:w="110"/>
              <w:bottom w:type="dxa" w:w="90"/>
              <w:right w:type="dxa" w:w="110"/>
            </w:tcMar>
            <w:vAlign w:val="center"/>
          </w:tcPr>
          <w:p>
            <w:r>
              <w:rPr>
                <w:rFonts w:ascii="Calibri" w:cs="Calibri" w:eastAsia="Calibri" w:hAnsi="Calibri"/>
                <w:b w:val="false"/>
                <w:bCs w:val="false"/>
                <w:color w:val="1A2333"/>
                <w:sz w:val="19"/>
                <w:szCs w:val="19"/>
              </w:rPr>
              <w:t xml:space="preserve">En progreso</w:t>
            </w:r>
          </w:p>
        </w:tc>
        <w:tc>
          <w:tcPr>
            <w:tcW w:type="dxa" w:w="2400"/>
            <w:shd w:fill="F6F8FB" w:color="auto" w:val="clear"/>
            <w:tcMar>
              <w:top w:type="dxa" w:w="90"/>
              <w:left w:type="dxa" w:w="110"/>
              <w:bottom w:type="dxa" w:w="90"/>
              <w:right w:type="dxa" w:w="110"/>
            </w:tcMar>
            <w:vAlign w:val="center"/>
          </w:tcPr>
          <w:p>
            <w:r>
              <w:rPr>
                <w:rFonts w:ascii="Calibri" w:cs="Calibri" w:eastAsia="Calibri" w:hAnsi="Calibri"/>
                <w:b w:val="false"/>
                <w:bCs w:val="false"/>
                <w:color w:val="1A2333"/>
                <w:sz w:val="19"/>
                <w:szCs w:val="19"/>
              </w:rPr>
              <w:t xml:space="preserve">Tomate (#FF6347)</w:t>
            </w:r>
          </w:p>
        </w:tc>
        <w:tc>
          <w:tcPr>
            <w:tcW w:type="dxa" w:w="5460"/>
            <w:shd w:fill="F6F8FB" w:color="auto" w:val="clear"/>
            <w:tcMar>
              <w:top w:type="dxa" w:w="90"/>
              <w:left w:type="dxa" w:w="110"/>
              <w:bottom w:type="dxa" w:w="90"/>
              <w:right w:type="dxa" w:w="110"/>
            </w:tcMar>
            <w:vAlign w:val="center"/>
          </w:tcPr>
          <w:p>
            <w:r>
              <w:rPr>
                <w:rFonts w:ascii="Calibri" w:cs="Calibri" w:eastAsia="Calibri" w:hAnsi="Calibri"/>
                <w:b w:val="false"/>
                <w:bCs w:val="false"/>
                <w:color w:val="1A2333"/>
                <w:sz w:val="19"/>
                <w:szCs w:val="19"/>
              </w:rPr>
              <w:t xml:space="preserve">Obligación abierta dentro del plazo. Distingue "Sin iniciar", "En preparación" y "Pendiente de validación"; el mismo día del vencimiento se muestra "Vence hoy".</w:t>
            </w:r>
          </w:p>
        </w:tc>
      </w:tr>
      <w:tr>
        <w:tc>
          <w:tcPr>
            <w:tcW w:type="dxa" w:w="2000"/>
            <w:tcMar>
              <w:top w:type="dxa" w:w="90"/>
              <w:left w:type="dxa" w:w="110"/>
              <w:bottom w:type="dxa" w:w="90"/>
              <w:right w:type="dxa" w:w="110"/>
            </w:tcMar>
            <w:vAlign w:val="center"/>
          </w:tcPr>
          <w:p>
            <w:r>
              <w:rPr>
                <w:rFonts w:ascii="Calibri" w:cs="Calibri" w:eastAsia="Calibri" w:hAnsi="Calibri"/>
                <w:b w:val="false"/>
                <w:bCs w:val="false"/>
                <w:color w:val="1A2333"/>
                <w:sz w:val="19"/>
                <w:szCs w:val="19"/>
              </w:rPr>
              <w:t xml:space="preserve">Finalizado</w:t>
            </w:r>
          </w:p>
        </w:tc>
        <w:tc>
          <w:tcPr>
            <w:tcW w:type="dxa" w:w="2400"/>
            <w:tcMar>
              <w:top w:type="dxa" w:w="90"/>
              <w:left w:type="dxa" w:w="110"/>
              <w:bottom w:type="dxa" w:w="90"/>
              <w:right w:type="dxa" w:w="110"/>
            </w:tcMar>
            <w:vAlign w:val="center"/>
          </w:tcPr>
          <w:p>
            <w:r>
              <w:rPr>
                <w:rFonts w:ascii="Calibri" w:cs="Calibri" w:eastAsia="Calibri" w:hAnsi="Calibri"/>
                <w:b w:val="false"/>
                <w:bCs w:val="false"/>
                <w:color w:val="1A2333"/>
                <w:sz w:val="19"/>
                <w:szCs w:val="19"/>
              </w:rPr>
              <w:t xml:space="preserve">Verde</w:t>
            </w:r>
          </w:p>
        </w:tc>
        <w:tc>
          <w:tcPr>
            <w:tcW w:type="dxa" w:w="5460"/>
            <w:tcMar>
              <w:top w:type="dxa" w:w="90"/>
              <w:left w:type="dxa" w:w="110"/>
              <w:bottom w:type="dxa" w:w="90"/>
              <w:right w:type="dxa" w:w="110"/>
            </w:tcMar>
            <w:vAlign w:val="center"/>
          </w:tcPr>
          <w:p>
            <w:r>
              <w:rPr>
                <w:rFonts w:ascii="Calibri" w:cs="Calibri" w:eastAsia="Calibri" w:hAnsi="Calibri"/>
                <w:b w:val="false"/>
                <w:bCs w:val="false"/>
                <w:color w:val="1A2333"/>
                <w:sz w:val="19"/>
                <w:szCs w:val="19"/>
              </w:rPr>
              <w:t xml:space="preserve">Requiere evidencia cargada y validación de un usuario autorizado. Si el cierre ocurre después del vencimiento, se muestra igualmente en verde pero como "Finalizada fuera de plazo", conservando el atraso en el historial.</w:t>
            </w:r>
          </w:p>
        </w:tc>
      </w:tr>
    </w:tbl>
    <w:p>
      <w:pPr>
        <w:spacing w:after="220" w:before="40"/>
      </w:pPr>
      <w:r>
        <w:rPr>
          <w:rFonts w:ascii="Calibri" w:cs="Calibri" w:eastAsia="Calibri" w:hAnsi="Calibri"/>
          <w:i/>
          <w:iCs/>
          <w:color w:val="3C4C63"/>
          <w:sz w:val="17"/>
          <w:szCs w:val="17"/>
        </w:rPr>
        <w:t xml:space="preserve">Tabla 2. Estados de cumplimiento y su regla de cálculo.</w:t>
      </w:r>
    </w:p>
    <w:p>
      <w:pPr>
        <w:spacing w:after="160" w:line="288"/>
        <w:jc w:val="both"/>
      </w:pPr>
      <w:r>
        <w:rPr>
          <w:rFonts w:ascii="Calibri" w:cs="Calibri" w:eastAsia="Calibri" w:hAnsi="Calibri"/>
          <w:b w:val="false"/>
          <w:bCs w:val="false"/>
          <w:i w:val="false"/>
          <w:iCs w:val="false"/>
          <w:color w:val="1A2333"/>
          <w:sz w:val="21"/>
          <w:szCs w:val="21"/>
        </w:rPr>
        <w:t xml:space="preserve">Cambiar la fecha de vencimiento de un período exige una justificación escrita y conserva el valor anterior en el historial; no es posible validar un cierre sin evidencia cargada.</w:t>
      </w:r>
    </w:p>
    <w:p>
      <w:pPr>
        <w:pStyle w:val="Heading2"/>
        <w:spacing w:after="110" w:before="260"/>
      </w:pPr>
      <w:r>
        <w:rPr>
          <w:rFonts w:ascii="Calibri" w:cs="Calibri" w:eastAsia="Calibri" w:hAnsi="Calibri"/>
          <w:b/>
          <w:bCs/>
          <w:color w:val="164B86"/>
          <w:sz w:val="24"/>
          <w:szCs w:val="24"/>
        </w:rPr>
        <w:t xml:space="preserve">4.3 Roles y permisos</w:t>
      </w:r>
    </w:p>
    <w:p>
      <w:pPr>
        <w:spacing w:after="160" w:line="288"/>
        <w:jc w:val="both"/>
      </w:pPr>
      <w:r>
        <w:rPr>
          <w:rFonts w:ascii="Calibri" w:cs="Calibri" w:eastAsia="Calibri" w:hAnsi="Calibri"/>
          <w:b w:val="false"/>
          <w:bCs w:val="false"/>
          <w:i w:val="false"/>
          <w:iCs w:val="false"/>
          <w:color w:val="1A2333"/>
          <w:sz w:val="21"/>
          <w:szCs w:val="21"/>
        </w:rPr>
        <w:t xml:space="preserve">El acceso se prueba con cuatro perfiles de demostración, cada uno con permisos distintos aplicados en vivo sobre los botones de la interfaz (no solo ocultos, sino realmente bloqueados con un aviso si se intenta una acción no permitida):</w:t>
      </w:r>
    </w:p>
    <w:tbl>
      <w:tblPr>
        <w:tblW w:type="dxa" w:w="8960"/>
        <w:tblBorders>
          <w:top w:val="single" w:color="D9E0EB" w:sz="4"/>
          <w:left w:val="single" w:color="D9E0EB" w:sz="4"/>
          <w:bottom w:val="single" w:color="D9E0EB" w:sz="4"/>
          <w:right w:val="single" w:color="D9E0EB" w:sz="4"/>
          <w:insideH w:val="single" w:color="D9E0EB" w:sz="4"/>
          <w:insideV w:val="single" w:color="D9E0EB" w:sz="4"/>
        </w:tblBorders>
      </w:tblPr>
      <w:tblGrid>
        <w:gridCol w:w="2900"/>
        <w:gridCol w:w="2020"/>
        <w:gridCol w:w="2020"/>
        <w:gridCol w:w="2020"/>
      </w:tblGrid>
      <w:tr>
        <w:trPr>
          <w:tblHeader/>
        </w:trPr>
        <w:tc>
          <w:tcPr>
            <w:tcW w:type="dxa" w:w="2900"/>
            <w:shd w:fill="164B86"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Acción</w:t>
            </w:r>
          </w:p>
        </w:tc>
        <w:tc>
          <w:tcPr>
            <w:tcW w:type="dxa" w:w="2020"/>
            <w:shd w:fill="164B86"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Administrador</w:t>
            </w:r>
          </w:p>
        </w:tc>
        <w:tc>
          <w:tcPr>
            <w:tcW w:type="dxa" w:w="2020"/>
            <w:shd w:fill="164B86"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Responsable</w:t>
            </w:r>
          </w:p>
        </w:tc>
        <w:tc>
          <w:tcPr>
            <w:tcW w:type="dxa" w:w="2020"/>
            <w:shd w:fill="164B86"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Supervisor/Auditor*</w:t>
            </w:r>
          </w:p>
        </w:tc>
      </w:tr>
      <w:tr>
        <w:tc>
          <w:tcPr>
            <w:tcW w:type="dxa" w:w="2900"/>
            <w:tcMar>
              <w:top w:type="dxa" w:w="90"/>
              <w:left w:type="dxa" w:w="110"/>
              <w:bottom w:type="dxa" w:w="90"/>
              <w:right w:type="dxa" w:w="110"/>
            </w:tcMar>
            <w:vAlign w:val="center"/>
          </w:tcPr>
          <w:p>
            <w:r>
              <w:rPr>
                <w:rFonts w:ascii="Calibri" w:cs="Calibri" w:eastAsia="Calibri" w:hAnsi="Calibri"/>
                <w:b w:val="false"/>
                <w:bCs w:val="false"/>
                <w:color w:val="1A2333"/>
                <w:sz w:val="19"/>
                <w:szCs w:val="19"/>
              </w:rPr>
              <w:t xml:space="preserve">Crear y editar obligaciones</w:t>
            </w:r>
          </w:p>
        </w:tc>
        <w:tc>
          <w:tcPr>
            <w:tcW w:type="dxa" w:w="2020"/>
            <w:tcMar>
              <w:top w:type="dxa" w:w="90"/>
              <w:left w:type="dxa" w:w="110"/>
              <w:bottom w:type="dxa" w:w="90"/>
              <w:right w:type="dxa" w:w="110"/>
            </w:tcMar>
            <w:vAlign w:val="center"/>
          </w:tcPr>
          <w:p>
            <w:r>
              <w:rPr>
                <w:rFonts w:ascii="Calibri" w:cs="Calibri" w:eastAsia="Calibri" w:hAnsi="Calibri"/>
                <w:b w:val="false"/>
                <w:bCs w:val="false"/>
                <w:color w:val="1A2333"/>
                <w:sz w:val="19"/>
                <w:szCs w:val="19"/>
              </w:rPr>
              <w:t xml:space="preserve">Sí</w:t>
            </w:r>
          </w:p>
        </w:tc>
        <w:tc>
          <w:tcPr>
            <w:tcW w:type="dxa" w:w="2020"/>
            <w:tcMar>
              <w:top w:type="dxa" w:w="90"/>
              <w:left w:type="dxa" w:w="110"/>
              <w:bottom w:type="dxa" w:w="90"/>
              <w:right w:type="dxa" w:w="110"/>
            </w:tcMar>
            <w:vAlign w:val="center"/>
          </w:tcPr>
          <w:p>
            <w:r>
              <w:rPr>
                <w:rFonts w:ascii="Calibri" w:cs="Calibri" w:eastAsia="Calibri" w:hAnsi="Calibri"/>
                <w:b w:val="false"/>
                <w:bCs w:val="false"/>
                <w:color w:val="1A2333"/>
                <w:sz w:val="19"/>
                <w:szCs w:val="19"/>
              </w:rPr>
              <w:t xml:space="preserve">Sí (propias)</w:t>
            </w:r>
          </w:p>
        </w:tc>
        <w:tc>
          <w:tcPr>
            <w:tcW w:type="dxa" w:w="2020"/>
            <w:tcMar>
              <w:top w:type="dxa" w:w="90"/>
              <w:left w:type="dxa" w:w="110"/>
              <w:bottom w:type="dxa" w:w="90"/>
              <w:right w:type="dxa" w:w="110"/>
            </w:tcMar>
            <w:vAlign w:val="center"/>
          </w:tcPr>
          <w:p>
            <w:r>
              <w:rPr>
                <w:rFonts w:ascii="Calibri" w:cs="Calibri" w:eastAsia="Calibri" w:hAnsi="Calibri"/>
                <w:b w:val="false"/>
                <w:bCs w:val="false"/>
                <w:color w:val="1A2333"/>
                <w:sz w:val="19"/>
                <w:szCs w:val="19"/>
              </w:rPr>
              <w:t xml:space="preserve">No</w:t>
            </w:r>
          </w:p>
        </w:tc>
      </w:tr>
      <w:tr>
        <w:tc>
          <w:tcPr>
            <w:tcW w:type="dxa" w:w="2900"/>
            <w:shd w:fill="F6F8FB" w:color="auto" w:val="clear"/>
            <w:tcMar>
              <w:top w:type="dxa" w:w="90"/>
              <w:left w:type="dxa" w:w="110"/>
              <w:bottom w:type="dxa" w:w="90"/>
              <w:right w:type="dxa" w:w="110"/>
            </w:tcMar>
            <w:vAlign w:val="center"/>
          </w:tcPr>
          <w:p>
            <w:r>
              <w:rPr>
                <w:rFonts w:ascii="Calibri" w:cs="Calibri" w:eastAsia="Calibri" w:hAnsi="Calibri"/>
                <w:b w:val="false"/>
                <w:bCs w:val="false"/>
                <w:color w:val="1A2333"/>
                <w:sz w:val="19"/>
                <w:szCs w:val="19"/>
              </w:rPr>
              <w:t xml:space="preserve">Cargar evidencia</w:t>
            </w:r>
          </w:p>
        </w:tc>
        <w:tc>
          <w:tcPr>
            <w:tcW w:type="dxa" w:w="2020"/>
            <w:shd w:fill="F6F8FB" w:color="auto" w:val="clear"/>
            <w:tcMar>
              <w:top w:type="dxa" w:w="90"/>
              <w:left w:type="dxa" w:w="110"/>
              <w:bottom w:type="dxa" w:w="90"/>
              <w:right w:type="dxa" w:w="110"/>
            </w:tcMar>
            <w:vAlign w:val="center"/>
          </w:tcPr>
          <w:p>
            <w:r>
              <w:rPr>
                <w:rFonts w:ascii="Calibri" w:cs="Calibri" w:eastAsia="Calibri" w:hAnsi="Calibri"/>
                <w:b w:val="false"/>
                <w:bCs w:val="false"/>
                <w:color w:val="1A2333"/>
                <w:sz w:val="19"/>
                <w:szCs w:val="19"/>
              </w:rPr>
              <w:t xml:space="preserve">Sí</w:t>
            </w:r>
          </w:p>
        </w:tc>
        <w:tc>
          <w:tcPr>
            <w:tcW w:type="dxa" w:w="2020"/>
            <w:shd w:fill="F6F8FB" w:color="auto" w:val="clear"/>
            <w:tcMar>
              <w:top w:type="dxa" w:w="90"/>
              <w:left w:type="dxa" w:w="110"/>
              <w:bottom w:type="dxa" w:w="90"/>
              <w:right w:type="dxa" w:w="110"/>
            </w:tcMar>
            <w:vAlign w:val="center"/>
          </w:tcPr>
          <w:p>
            <w:r>
              <w:rPr>
                <w:rFonts w:ascii="Calibri" w:cs="Calibri" w:eastAsia="Calibri" w:hAnsi="Calibri"/>
                <w:b w:val="false"/>
                <w:bCs w:val="false"/>
                <w:color w:val="1A2333"/>
                <w:sz w:val="19"/>
                <w:szCs w:val="19"/>
              </w:rPr>
              <w:t xml:space="preserve">Sí (propias)</w:t>
            </w:r>
          </w:p>
        </w:tc>
        <w:tc>
          <w:tcPr>
            <w:tcW w:type="dxa" w:w="2020"/>
            <w:shd w:fill="F6F8FB" w:color="auto" w:val="clear"/>
            <w:tcMar>
              <w:top w:type="dxa" w:w="90"/>
              <w:left w:type="dxa" w:w="110"/>
              <w:bottom w:type="dxa" w:w="90"/>
              <w:right w:type="dxa" w:w="110"/>
            </w:tcMar>
            <w:vAlign w:val="center"/>
          </w:tcPr>
          <w:p>
            <w:r>
              <w:rPr>
                <w:rFonts w:ascii="Calibri" w:cs="Calibri" w:eastAsia="Calibri" w:hAnsi="Calibri"/>
                <w:b w:val="false"/>
                <w:bCs w:val="false"/>
                <w:color w:val="1A2333"/>
                <w:sz w:val="19"/>
                <w:szCs w:val="19"/>
              </w:rPr>
              <w:t xml:space="preserve">No</w:t>
            </w:r>
          </w:p>
        </w:tc>
      </w:tr>
      <w:tr>
        <w:tc>
          <w:tcPr>
            <w:tcW w:type="dxa" w:w="2900"/>
            <w:tcMar>
              <w:top w:type="dxa" w:w="90"/>
              <w:left w:type="dxa" w:w="110"/>
              <w:bottom w:type="dxa" w:w="90"/>
              <w:right w:type="dxa" w:w="110"/>
            </w:tcMar>
            <w:vAlign w:val="center"/>
          </w:tcPr>
          <w:p>
            <w:r>
              <w:rPr>
                <w:rFonts w:ascii="Calibri" w:cs="Calibri" w:eastAsia="Calibri" w:hAnsi="Calibri"/>
                <w:b w:val="false"/>
                <w:bCs w:val="false"/>
                <w:color w:val="1A2333"/>
                <w:sz w:val="19"/>
                <w:szCs w:val="19"/>
              </w:rPr>
              <w:t xml:space="preserve">Validar el cierre</w:t>
            </w:r>
          </w:p>
        </w:tc>
        <w:tc>
          <w:tcPr>
            <w:tcW w:type="dxa" w:w="2020"/>
            <w:tcMar>
              <w:top w:type="dxa" w:w="90"/>
              <w:left w:type="dxa" w:w="110"/>
              <w:bottom w:type="dxa" w:w="90"/>
              <w:right w:type="dxa" w:w="110"/>
            </w:tcMar>
            <w:vAlign w:val="center"/>
          </w:tcPr>
          <w:p>
            <w:r>
              <w:rPr>
                <w:rFonts w:ascii="Calibri" w:cs="Calibri" w:eastAsia="Calibri" w:hAnsi="Calibri"/>
                <w:b w:val="false"/>
                <w:bCs w:val="false"/>
                <w:color w:val="1A2333"/>
                <w:sz w:val="19"/>
                <w:szCs w:val="19"/>
              </w:rPr>
              <w:t xml:space="preserve">Sí</w:t>
            </w:r>
          </w:p>
        </w:tc>
        <w:tc>
          <w:tcPr>
            <w:tcW w:type="dxa" w:w="2020"/>
            <w:tcMar>
              <w:top w:type="dxa" w:w="90"/>
              <w:left w:type="dxa" w:w="110"/>
              <w:bottom w:type="dxa" w:w="90"/>
              <w:right w:type="dxa" w:w="110"/>
            </w:tcMar>
            <w:vAlign w:val="center"/>
          </w:tcPr>
          <w:p>
            <w:r>
              <w:rPr>
                <w:rFonts w:ascii="Calibri" w:cs="Calibri" w:eastAsia="Calibri" w:hAnsi="Calibri"/>
                <w:b w:val="false"/>
                <w:bCs w:val="false"/>
                <w:color w:val="1A2333"/>
                <w:sz w:val="19"/>
                <w:szCs w:val="19"/>
              </w:rPr>
              <w:t xml:space="preserve">No</w:t>
            </w:r>
          </w:p>
        </w:tc>
        <w:tc>
          <w:tcPr>
            <w:tcW w:type="dxa" w:w="2020"/>
            <w:tcMar>
              <w:top w:type="dxa" w:w="90"/>
              <w:left w:type="dxa" w:w="110"/>
              <w:bottom w:type="dxa" w:w="90"/>
              <w:right w:type="dxa" w:w="110"/>
            </w:tcMar>
            <w:vAlign w:val="center"/>
          </w:tcPr>
          <w:p>
            <w:r>
              <w:rPr>
                <w:rFonts w:ascii="Calibri" w:cs="Calibri" w:eastAsia="Calibri" w:hAnsi="Calibri"/>
                <w:b w:val="false"/>
                <w:bCs w:val="false"/>
                <w:color w:val="1A2333"/>
                <w:sz w:val="19"/>
                <w:szCs w:val="19"/>
              </w:rPr>
              <w:t xml:space="preserve">Sí (Supervisor)</w:t>
            </w:r>
          </w:p>
        </w:tc>
      </w:tr>
      <w:tr>
        <w:tc>
          <w:tcPr>
            <w:tcW w:type="dxa" w:w="2900"/>
            <w:shd w:fill="F6F8FB" w:color="auto" w:val="clear"/>
            <w:tcMar>
              <w:top w:type="dxa" w:w="90"/>
              <w:left w:type="dxa" w:w="110"/>
              <w:bottom w:type="dxa" w:w="90"/>
              <w:right w:type="dxa" w:w="110"/>
            </w:tcMar>
            <w:vAlign w:val="center"/>
          </w:tcPr>
          <w:p>
            <w:r>
              <w:rPr>
                <w:rFonts w:ascii="Calibri" w:cs="Calibri" w:eastAsia="Calibri" w:hAnsi="Calibri"/>
                <w:b w:val="false"/>
                <w:bCs w:val="false"/>
                <w:color w:val="1A2333"/>
                <w:sz w:val="19"/>
                <w:szCs w:val="19"/>
              </w:rPr>
              <w:t xml:space="preserve">Configurar el sistema</w:t>
            </w:r>
          </w:p>
        </w:tc>
        <w:tc>
          <w:tcPr>
            <w:tcW w:type="dxa" w:w="2020"/>
            <w:shd w:fill="F6F8FB" w:color="auto" w:val="clear"/>
            <w:tcMar>
              <w:top w:type="dxa" w:w="90"/>
              <w:left w:type="dxa" w:w="110"/>
              <w:bottom w:type="dxa" w:w="90"/>
              <w:right w:type="dxa" w:w="110"/>
            </w:tcMar>
            <w:vAlign w:val="center"/>
          </w:tcPr>
          <w:p>
            <w:r>
              <w:rPr>
                <w:rFonts w:ascii="Calibri" w:cs="Calibri" w:eastAsia="Calibri" w:hAnsi="Calibri"/>
                <w:b w:val="false"/>
                <w:bCs w:val="false"/>
                <w:color w:val="1A2333"/>
                <w:sz w:val="19"/>
                <w:szCs w:val="19"/>
              </w:rPr>
              <w:t xml:space="preserve">Sí</w:t>
            </w:r>
          </w:p>
        </w:tc>
        <w:tc>
          <w:tcPr>
            <w:tcW w:type="dxa" w:w="2020"/>
            <w:shd w:fill="F6F8FB" w:color="auto" w:val="clear"/>
            <w:tcMar>
              <w:top w:type="dxa" w:w="90"/>
              <w:left w:type="dxa" w:w="110"/>
              <w:bottom w:type="dxa" w:w="90"/>
              <w:right w:type="dxa" w:w="110"/>
            </w:tcMar>
            <w:vAlign w:val="center"/>
          </w:tcPr>
          <w:p>
            <w:r>
              <w:rPr>
                <w:rFonts w:ascii="Calibri" w:cs="Calibri" w:eastAsia="Calibri" w:hAnsi="Calibri"/>
                <w:b w:val="false"/>
                <w:bCs w:val="false"/>
                <w:color w:val="1A2333"/>
                <w:sz w:val="19"/>
                <w:szCs w:val="19"/>
              </w:rPr>
              <w:t xml:space="preserve">No</w:t>
            </w:r>
          </w:p>
        </w:tc>
        <w:tc>
          <w:tcPr>
            <w:tcW w:type="dxa" w:w="2020"/>
            <w:shd w:fill="F6F8FB" w:color="auto" w:val="clear"/>
            <w:tcMar>
              <w:top w:type="dxa" w:w="90"/>
              <w:left w:type="dxa" w:w="110"/>
              <w:bottom w:type="dxa" w:w="90"/>
              <w:right w:type="dxa" w:w="110"/>
            </w:tcMar>
            <w:vAlign w:val="center"/>
          </w:tcPr>
          <w:p>
            <w:r>
              <w:rPr>
                <w:rFonts w:ascii="Calibri" w:cs="Calibri" w:eastAsia="Calibri" w:hAnsi="Calibri"/>
                <w:b w:val="false"/>
                <w:bCs w:val="false"/>
                <w:color w:val="1A2333"/>
                <w:sz w:val="19"/>
                <w:szCs w:val="19"/>
              </w:rPr>
              <w:t xml:space="preserve">No</w:t>
            </w:r>
          </w:p>
        </w:tc>
      </w:tr>
      <w:tr>
        <w:tc>
          <w:tcPr>
            <w:tcW w:type="dxa" w:w="2900"/>
            <w:tcMar>
              <w:top w:type="dxa" w:w="90"/>
              <w:left w:type="dxa" w:w="110"/>
              <w:bottom w:type="dxa" w:w="90"/>
              <w:right w:type="dxa" w:w="110"/>
            </w:tcMar>
            <w:vAlign w:val="center"/>
          </w:tcPr>
          <w:p>
            <w:r>
              <w:rPr>
                <w:rFonts w:ascii="Calibri" w:cs="Calibri" w:eastAsia="Calibri" w:hAnsi="Calibri"/>
                <w:b w:val="false"/>
                <w:bCs w:val="false"/>
                <w:color w:val="1A2333"/>
                <w:sz w:val="19"/>
                <w:szCs w:val="19"/>
              </w:rPr>
              <w:t xml:space="preserve">Ver todas las obligaciones</w:t>
            </w:r>
          </w:p>
        </w:tc>
        <w:tc>
          <w:tcPr>
            <w:tcW w:type="dxa" w:w="2020"/>
            <w:tcMar>
              <w:top w:type="dxa" w:w="90"/>
              <w:left w:type="dxa" w:w="110"/>
              <w:bottom w:type="dxa" w:w="90"/>
              <w:right w:type="dxa" w:w="110"/>
            </w:tcMar>
            <w:vAlign w:val="center"/>
          </w:tcPr>
          <w:p>
            <w:r>
              <w:rPr>
                <w:rFonts w:ascii="Calibri" w:cs="Calibri" w:eastAsia="Calibri" w:hAnsi="Calibri"/>
                <w:b w:val="false"/>
                <w:bCs w:val="false"/>
                <w:color w:val="1A2333"/>
                <w:sz w:val="19"/>
                <w:szCs w:val="19"/>
              </w:rPr>
              <w:t xml:space="preserve">Sí</w:t>
            </w:r>
          </w:p>
        </w:tc>
        <w:tc>
          <w:tcPr>
            <w:tcW w:type="dxa" w:w="2020"/>
            <w:tcMar>
              <w:top w:type="dxa" w:w="90"/>
              <w:left w:type="dxa" w:w="110"/>
              <w:bottom w:type="dxa" w:w="90"/>
              <w:right w:type="dxa" w:w="110"/>
            </w:tcMar>
            <w:vAlign w:val="center"/>
          </w:tcPr>
          <w:p>
            <w:r>
              <w:rPr>
                <w:rFonts w:ascii="Calibri" w:cs="Calibri" w:eastAsia="Calibri" w:hAnsi="Calibri"/>
                <w:b w:val="false"/>
                <w:bCs w:val="false"/>
                <w:color w:val="1A2333"/>
                <w:sz w:val="19"/>
                <w:szCs w:val="19"/>
              </w:rPr>
              <w:t xml:space="preserve">Solo las propias</w:t>
            </w:r>
          </w:p>
        </w:tc>
        <w:tc>
          <w:tcPr>
            <w:tcW w:type="dxa" w:w="2020"/>
            <w:tcMar>
              <w:top w:type="dxa" w:w="90"/>
              <w:left w:type="dxa" w:w="110"/>
              <w:bottom w:type="dxa" w:w="90"/>
              <w:right w:type="dxa" w:w="110"/>
            </w:tcMar>
            <w:vAlign w:val="center"/>
          </w:tcPr>
          <w:p>
            <w:r>
              <w:rPr>
                <w:rFonts w:ascii="Calibri" w:cs="Calibri" w:eastAsia="Calibri" w:hAnsi="Calibri"/>
                <w:b w:val="false"/>
                <w:bCs w:val="false"/>
                <w:color w:val="1A2333"/>
                <w:sz w:val="19"/>
                <w:szCs w:val="19"/>
              </w:rPr>
              <w:t xml:space="preserve">Sí</w:t>
            </w:r>
          </w:p>
        </w:tc>
      </w:tr>
    </w:tbl>
    <w:p>
      <w:pPr>
        <w:spacing w:after="220" w:before="40"/>
      </w:pPr>
      <w:r>
        <w:rPr>
          <w:rFonts w:ascii="Calibri" w:cs="Calibri" w:eastAsia="Calibri" w:hAnsi="Calibri"/>
          <w:i/>
          <w:iCs/>
          <w:color w:val="3C4C63"/>
          <w:sz w:val="17"/>
          <w:szCs w:val="17"/>
        </w:rPr>
        <w:t xml:space="preserve">Tabla 3. Matriz de permisos por rol. *El Auditor comparte la columna de solo-consulta: ve todo, no puede validar ni editar nada.</w:t>
      </w:r>
    </w:p>
    <w:p>
      <w:pPr>
        <w:pStyle w:val="Heading2"/>
        <w:spacing w:after="110" w:before="260"/>
      </w:pPr>
      <w:r>
        <w:rPr>
          <w:rFonts w:ascii="Calibri" w:cs="Calibri" w:eastAsia="Calibri" w:hAnsi="Calibri"/>
          <w:b/>
          <w:bCs/>
          <w:color w:val="164B86"/>
          <w:sz w:val="24"/>
          <w:szCs w:val="24"/>
        </w:rPr>
        <w:t xml:space="preserve">4.4 Documentos y evidencias</w:t>
      </w:r>
    </w:p>
    <w:p>
      <w:pPr>
        <w:spacing w:after="160" w:line="288"/>
        <w:jc w:val="both"/>
      </w:pPr>
      <w:r>
        <w:rPr>
          <w:rFonts w:ascii="Calibri" w:cs="Calibri" w:eastAsia="Calibri" w:hAnsi="Calibri"/>
          <w:b w:val="false"/>
          <w:bCs w:val="false"/>
          <w:i w:val="false"/>
          <w:iCs w:val="false"/>
          <w:color w:val="1A2333"/>
          <w:sz w:val="21"/>
          <w:szCs w:val="21"/>
        </w:rPr>
        <w:t xml:space="preserve">Cada período permite cargar varios documentos PDF (con validación de formato y tamaño máximo, y una barra de progreso por archivo), verlos en un visor con navegación entre páginas y zoom, descargarlos e imprimirlos. El mockup también representa los casos excepcionales que el equipo pidió cubrir: "Sin documentos", "Archivo rechazado" (por ejemplo, un formato no permitido), "Carga fallida" y "Sin permisos" para roles de solo lectura.</w:t>
      </w:r>
    </w:p>
    <w:p>
      <w:pPr>
        <w:pStyle w:val="Heading2"/>
        <w:spacing w:after="110" w:before="260"/>
      </w:pPr>
      <w:r>
        <w:rPr>
          <w:rFonts w:ascii="Calibri" w:cs="Calibri" w:eastAsia="Calibri" w:hAnsi="Calibri"/>
          <w:b/>
          <w:bCs/>
          <w:color w:val="164B86"/>
          <w:sz w:val="24"/>
          <w:szCs w:val="24"/>
        </w:rPr>
        <w:t xml:space="preserve">4.5 Recordatorios por correo</w:t>
      </w:r>
    </w:p>
    <w:p>
      <w:pPr>
        <w:spacing w:after="160" w:line="288"/>
        <w:jc w:val="both"/>
      </w:pPr>
      <w:r>
        <w:rPr>
          <w:rFonts w:ascii="Calibri" w:cs="Calibri" w:eastAsia="Calibri" w:hAnsi="Calibri"/>
          <w:b w:val="false"/>
          <w:bCs w:val="false"/>
          <w:i w:val="false"/>
          <w:iCs w:val="false"/>
          <w:color w:val="1A2333"/>
          <w:sz w:val="21"/>
          <w:szCs w:val="21"/>
        </w:rPr>
        <w:t xml:space="preserve">Los avisos se configuran con anticipación editable (por defecto 15, 7, 3 y 1 día antes, más el día del vencimiento), muestran una vista previa del correo con obligación, período, entidad, responsable, vencimiento y enlace de acceso, y quedan registrados en un historial de notificaciones programadas, enviadas y fallidas (con opción de reintento sin duplicar el aviso). Si una obligación vence sin finalizar, el mockup contempla escalar el aviso al supervisor. Al validar un cierre, los recordatorios de ese período se suspenden automáticamente. Todo envío en este mockup es simulado y queda identificado como tal en pantalla — no sale ningún correo real.</w:t>
      </w:r>
    </w:p>
    <w:p>
      <w:r>
        <w:br w:type="page"/>
      </w:r>
    </w:p>
    <w:p>
      <w:pPr>
        <w:pStyle w:val="Heading1"/>
        <w:pBdr>
          <w:bottom w:val="single" w:color="164B86" w:sz="8" w:space="6"/>
        </w:pBdr>
        <w:spacing w:after="160" w:before="340"/>
      </w:pPr>
      <w:r>
        <w:rPr>
          <w:rFonts w:ascii="Calibri" w:cs="Calibri" w:eastAsia="Calibri" w:hAnsi="Calibri"/>
          <w:b/>
          <w:bCs/>
          <w:color w:val="0D2A4D"/>
          <w:sz w:val="30"/>
          <w:szCs w:val="30"/>
        </w:rPr>
        <w:t xml:space="preserve">5. En qué nos va a ayudar</w:t>
      </w:r>
    </w:p>
    <w:p>
      <w:pPr>
        <w:spacing w:after="160" w:line="288"/>
        <w:jc w:val="both"/>
      </w:pPr>
      <w:r>
        <w:rPr>
          <w:rFonts w:ascii="Calibri" w:cs="Calibri" w:eastAsia="Calibri" w:hAnsi="Calibri"/>
          <w:b w:val="false"/>
          <w:bCs w:val="false"/>
          <w:i w:val="false"/>
          <w:iCs w:val="false"/>
          <w:color w:val="1A2333"/>
          <w:sz w:val="21"/>
          <w:szCs w:val="21"/>
        </w:rPr>
        <w:t xml:space="preserve">Más allá de ser una demostración visual, este mockup aporta valor concreto en tres momentos distintos: ahora (mientras se decide qué construir), cuando el sistema real esté operando, y de cara a la gerencia y a auditorías externas.</w:t>
      </w:r>
    </w:p>
    <w:p>
      <w:pPr>
        <w:pStyle w:val="Heading2"/>
        <w:spacing w:after="110" w:before="260"/>
      </w:pPr>
      <w:r>
        <w:rPr>
          <w:rFonts w:ascii="Calibri" w:cs="Calibri" w:eastAsia="Calibri" w:hAnsi="Calibri"/>
          <w:b/>
          <w:bCs/>
          <w:color w:val="164B86"/>
          <w:sz w:val="24"/>
          <w:szCs w:val="24"/>
        </w:rPr>
        <w:t xml:space="preserve">5.1 Mientras se decide qué construir</w:t>
      </w:r>
    </w:p>
    <w:p>
      <w:pPr>
        <w:pStyle w:val="ListParagraph"/>
        <w:numPr>
          <w:ilvl w:val="0"/>
          <w:numId w:val="2"/>
        </w:numPr>
        <w:spacing w:after="90" w:line="276"/>
      </w:pPr>
      <w:r>
        <w:rPr>
          <w:rFonts w:ascii="Calibri" w:cs="Calibri" w:eastAsia="Calibri" w:hAnsi="Calibri"/>
          <w:b/>
          <w:bCs/>
          <w:color w:val="0D2A4D"/>
          <w:sz w:val="21"/>
          <w:szCs w:val="21"/>
        </w:rPr>
        <w:t xml:space="preserve">Reduce el riesgo de construir lo que no se necesita: </w:t>
      </w:r>
      <w:r>
        <w:rPr>
          <w:rFonts w:ascii="Calibri" w:cs="Calibri" w:eastAsia="Calibri" w:hAnsi="Calibri"/>
          <w:color w:val="1A2333"/>
          <w:sz w:val="21"/>
          <w:szCs w:val="21"/>
        </w:rPr>
        <w:t xml:space="preserve">Permite que el equipo administrativo y la gerencia prueben el flujo completo y señalen ajustes (campos, textos, reglas de estado) antes de escribir una sola línea de código de producción, evitando rehacer trabajo más caro después.</w:t>
      </w:r>
    </w:p>
    <w:p>
      <w:pPr>
        <w:pStyle w:val="ListParagraph"/>
        <w:numPr>
          <w:ilvl w:val="0"/>
          <w:numId w:val="2"/>
        </w:numPr>
        <w:spacing w:after="90" w:line="276"/>
      </w:pPr>
      <w:r>
        <w:rPr>
          <w:rFonts w:ascii="Calibri" w:cs="Calibri" w:eastAsia="Calibri" w:hAnsi="Calibri"/>
          <w:b/>
          <w:bCs/>
          <w:color w:val="0D2A4D"/>
          <w:sz w:val="21"/>
          <w:szCs w:val="21"/>
        </w:rPr>
        <w:t xml:space="preserve">Sirve como especificación viva: </w:t>
      </w:r>
      <w:r>
        <w:rPr>
          <w:rFonts w:ascii="Calibri" w:cs="Calibri" w:eastAsia="Calibri" w:hAnsi="Calibri"/>
          <w:color w:val="1A2333"/>
          <w:sz w:val="21"/>
          <w:szCs w:val="21"/>
        </w:rPr>
        <w:t xml:space="preserve">La sección "Qué está simulado" del propio mockup deja explícito qué se resuelve con base de datos, almacenamiento documental, proveedor de identidad y servicio de correo, lo que facilita cotizar y planificar el desarrollo por etapas.</w:t>
      </w:r>
    </w:p>
    <w:p>
      <w:pPr>
        <w:pStyle w:val="ListParagraph"/>
        <w:numPr>
          <w:ilvl w:val="0"/>
          <w:numId w:val="2"/>
        </w:numPr>
        <w:spacing w:after="90" w:line="276"/>
      </w:pPr>
      <w:r>
        <w:rPr>
          <w:rFonts w:ascii="Calibri" w:cs="Calibri" w:eastAsia="Calibri" w:hAnsi="Calibri"/>
          <w:b/>
          <w:bCs/>
          <w:color w:val="0D2A4D"/>
          <w:sz w:val="21"/>
          <w:szCs w:val="21"/>
        </w:rPr>
        <w:t xml:space="preserve">Es seguro de mostrar y probar ampliamente: </w:t>
      </w:r>
      <w:r>
        <w:rPr>
          <w:rFonts w:ascii="Calibri" w:cs="Calibri" w:eastAsia="Calibri" w:hAnsi="Calibri"/>
          <w:color w:val="1A2333"/>
          <w:sz w:val="21"/>
          <w:szCs w:val="21"/>
        </w:rPr>
        <w:t xml:space="preserve">Al no depender de datos reales de la empresa, se puede compartir con distintas personas para recoger retroalimentación sin exponer información sensible.</w:t>
      </w:r>
    </w:p>
    <w:p>
      <w:pPr>
        <w:pStyle w:val="Heading2"/>
        <w:spacing w:after="110" w:before="260"/>
      </w:pPr>
      <w:r>
        <w:rPr>
          <w:rFonts w:ascii="Calibri" w:cs="Calibri" w:eastAsia="Calibri" w:hAnsi="Calibri"/>
          <w:b/>
          <w:bCs/>
          <w:color w:val="164B86"/>
          <w:sz w:val="24"/>
          <w:szCs w:val="24"/>
        </w:rPr>
        <w:t xml:space="preserve">5.2 Cuando el sistema esté en producción</w:t>
      </w:r>
    </w:p>
    <w:p>
      <w:pPr>
        <w:pStyle w:val="ListParagraph"/>
        <w:numPr>
          <w:ilvl w:val="0"/>
          <w:numId w:val="2"/>
        </w:numPr>
        <w:spacing w:after="90" w:line="276"/>
      </w:pPr>
      <w:r>
        <w:rPr>
          <w:rFonts w:ascii="Calibri" w:cs="Calibri" w:eastAsia="Calibri" w:hAnsi="Calibri"/>
          <w:b/>
          <w:bCs/>
          <w:color w:val="0D2A4D"/>
          <w:sz w:val="21"/>
          <w:szCs w:val="21"/>
        </w:rPr>
        <w:t xml:space="preserve">Un solo lugar para todo el grupo: </w:t>
      </w:r>
      <w:r>
        <w:rPr>
          <w:rFonts w:ascii="Calibri" w:cs="Calibri" w:eastAsia="Calibri" w:hAnsi="Calibri"/>
          <w:color w:val="1A2333"/>
          <w:sz w:val="21"/>
          <w:szCs w:val="21"/>
        </w:rPr>
        <w:t xml:space="preserve">Cada obligación de Laarcourier, Laar Seguridad y Virtual Create tendría un único responsable, un suplente y una fecha límite visibles para todos, en lugar de depender de hojas de cálculo dispersas por área.</w:t>
      </w:r>
    </w:p>
    <w:p>
      <w:pPr>
        <w:pStyle w:val="ListParagraph"/>
        <w:numPr>
          <w:ilvl w:val="0"/>
          <w:numId w:val="2"/>
        </w:numPr>
        <w:spacing w:after="90" w:line="276"/>
      </w:pPr>
      <w:r>
        <w:rPr>
          <w:rFonts w:ascii="Calibri" w:cs="Calibri" w:eastAsia="Calibri" w:hAnsi="Calibri"/>
          <w:b/>
          <w:bCs/>
          <w:color w:val="0D2A4D"/>
          <w:sz w:val="21"/>
          <w:szCs w:val="21"/>
        </w:rPr>
        <w:t xml:space="preserve">Menos obligaciones vencidas por olvido: </w:t>
      </w:r>
      <w:r>
        <w:rPr>
          <w:rFonts w:ascii="Calibri" w:cs="Calibri" w:eastAsia="Calibri" w:hAnsi="Calibri"/>
          <w:color w:val="1A2333"/>
          <w:sz w:val="21"/>
          <w:szCs w:val="21"/>
        </w:rPr>
        <w:t xml:space="preserve">Nadie necesita recordar manualmente cada fecha: el sistema avisa 15, 7, 3 y 1 día antes, el día del vencimiento, y escala a la jefatura si igual se pasa el plazo.</w:t>
      </w:r>
    </w:p>
    <w:p>
      <w:pPr>
        <w:pStyle w:val="ListParagraph"/>
        <w:numPr>
          <w:ilvl w:val="0"/>
          <w:numId w:val="2"/>
        </w:numPr>
        <w:spacing w:after="90" w:line="276"/>
      </w:pPr>
      <w:r>
        <w:rPr>
          <w:rFonts w:ascii="Calibri" w:cs="Calibri" w:eastAsia="Calibri" w:hAnsi="Calibri"/>
          <w:b/>
          <w:bCs/>
          <w:color w:val="0D2A4D"/>
          <w:sz w:val="21"/>
          <w:szCs w:val="21"/>
        </w:rPr>
        <w:t xml:space="preserve">Evidencia siempre a la mano: </w:t>
      </w:r>
      <w:r>
        <w:rPr>
          <w:rFonts w:ascii="Calibri" w:cs="Calibri" w:eastAsia="Calibri" w:hAnsi="Calibri"/>
          <w:color w:val="1A2333"/>
          <w:sz w:val="21"/>
          <w:szCs w:val="21"/>
        </w:rPr>
        <w:t xml:space="preserve">Cada evidencia (PDF) queda ligada a su período específico, con quién la subió y cuándo — información lista para mostrar ante el SRI, el Ministerio del Trabajo, una aseguradora o cualquier entidad de control, sin salir a buscar carpetas o correos.</w:t>
      </w:r>
    </w:p>
    <w:p>
      <w:pPr>
        <w:pStyle w:val="ListParagraph"/>
        <w:numPr>
          <w:ilvl w:val="0"/>
          <w:numId w:val="2"/>
        </w:numPr>
        <w:spacing w:after="90" w:line="276"/>
      </w:pPr>
      <w:r>
        <w:rPr>
          <w:rFonts w:ascii="Calibri" w:cs="Calibri" w:eastAsia="Calibri" w:hAnsi="Calibri"/>
          <w:b/>
          <w:bCs/>
          <w:color w:val="0D2A4D"/>
          <w:sz w:val="21"/>
          <w:szCs w:val="21"/>
        </w:rPr>
        <w:t xml:space="preserve">Trazabilidad y control interno: </w:t>
      </w:r>
      <w:r>
        <w:rPr>
          <w:rFonts w:ascii="Calibri" w:cs="Calibri" w:eastAsia="Calibri" w:hAnsi="Calibri"/>
          <w:color w:val="1A2333"/>
          <w:sz w:val="21"/>
          <w:szCs w:val="21"/>
        </w:rPr>
        <w:t xml:space="preserve">Un cambio de fecha exige justificación y conserva el valor anterior; un cierre exige evidencia y validación de una persona autorizada — esto ordena responsabilidades y deja rastro de quién decidió qué y por qué.</w:t>
      </w:r>
    </w:p>
    <w:p>
      <w:pPr>
        <w:pStyle w:val="ListParagraph"/>
        <w:numPr>
          <w:ilvl w:val="0"/>
          <w:numId w:val="2"/>
        </w:numPr>
        <w:spacing w:after="90" w:line="276"/>
      </w:pPr>
      <w:r>
        <w:rPr>
          <w:rFonts w:ascii="Calibri" w:cs="Calibri" w:eastAsia="Calibri" w:hAnsi="Calibri"/>
          <w:b/>
          <w:bCs/>
          <w:color w:val="0D2A4D"/>
          <w:sz w:val="21"/>
          <w:szCs w:val="21"/>
        </w:rPr>
        <w:t xml:space="preserve">Visibilidad gerencial inmediata: </w:t>
      </w:r>
      <w:r>
        <w:rPr>
          <w:rFonts w:ascii="Calibri" w:cs="Calibri" w:eastAsia="Calibri" w:hAnsi="Calibri"/>
          <w:color w:val="1A2333"/>
          <w:sz w:val="21"/>
          <w:szCs w:val="21"/>
        </w:rPr>
        <w:t xml:space="preserve">La gerencia puede ver en segundos cuántas obligaciones están incumplidas, en progreso o finalizadas, y distinguir el cumplimiento a tiempo del tardío, por área y por entidad de control — sin pedir el dato a cada responsable.</w:t>
      </w:r>
    </w:p>
    <w:p>
      <w:pPr>
        <w:pStyle w:val="ListParagraph"/>
        <w:numPr>
          <w:ilvl w:val="0"/>
          <w:numId w:val="2"/>
        </w:numPr>
        <w:spacing w:after="90" w:line="276"/>
      </w:pPr>
      <w:r>
        <w:rPr>
          <w:rFonts w:ascii="Calibri" w:cs="Calibri" w:eastAsia="Calibri" w:hAnsi="Calibri"/>
          <w:b/>
          <w:bCs/>
          <w:color w:val="0D2A4D"/>
          <w:sz w:val="21"/>
          <w:szCs w:val="21"/>
        </w:rPr>
        <w:t xml:space="preserve">Preparado para crecer: </w:t>
      </w:r>
      <w:r>
        <w:rPr>
          <w:rFonts w:ascii="Calibri" w:cs="Calibri" w:eastAsia="Calibri" w:hAnsi="Calibri"/>
          <w:color w:val="1A2333"/>
          <w:sz w:val="21"/>
          <w:szCs w:val="21"/>
        </w:rPr>
        <w:t xml:space="preserve">El mismo diseño ya contempla varias empresas y sucursales, de modo que agregar una nueva unidad de negocio no exige rediseñar el sistema, solo cargar sus obligaciones.</w:t>
      </w:r>
    </w:p>
    <w:p>
      <w:pPr>
        <w:pStyle w:val="Heading2"/>
        <w:spacing w:after="110" w:before="260"/>
      </w:pPr>
      <w:r>
        <w:rPr>
          <w:rFonts w:ascii="Calibri" w:cs="Calibri" w:eastAsia="Calibri" w:hAnsi="Calibri"/>
          <w:b/>
          <w:bCs/>
          <w:color w:val="164B86"/>
          <w:sz w:val="24"/>
          <w:szCs w:val="24"/>
        </w:rPr>
        <w:t xml:space="preserve">5.3 De cara a auditorías y control de riesgo</w:t>
      </w:r>
    </w:p>
    <w:p>
      <w:pPr>
        <w:spacing w:after="160" w:line="288"/>
        <w:jc w:val="both"/>
      </w:pPr>
      <w:r>
        <w:rPr>
          <w:rFonts w:ascii="Calibri" w:cs="Calibri" w:eastAsia="Calibri" w:hAnsi="Calibri"/>
          <w:b w:val="false"/>
          <w:bCs w:val="false"/>
          <w:i w:val="false"/>
          <w:iCs w:val="false"/>
          <w:color w:val="1A2333"/>
          <w:sz w:val="21"/>
          <w:szCs w:val="21"/>
        </w:rPr>
        <w:t xml:space="preserve">Uno de los mayores riesgos administrativos de una empresa como esta es el incumplimiento por descuido: una patente municipal que caduca, un permiso de bomberos vencido, una póliza que no se renovó a tiempo. Cada uno de estos casos puede significar multas, suspensión de operación o pérdida de cobertura. Al centralizar obligaciones, vencimientos, responsables y evidencia en un solo lugar, con historial de cambios y de notificaciones, el sistema reduce ese riesgo y, además, deja un registro auditable — con usuario, fecha, acción y motivo — que respalda a la empresa ante cualquier revisión externa.</w:t>
      </w:r>
    </w:p>
    <w:p>
      <w:pPr>
        <w:pStyle w:val="Heading1"/>
        <w:pBdr>
          <w:bottom w:val="single" w:color="164B86" w:sz="8" w:space="6"/>
        </w:pBdr>
        <w:spacing w:after="160" w:before="340"/>
      </w:pPr>
      <w:r>
        <w:rPr>
          <w:rFonts w:ascii="Calibri" w:cs="Calibri" w:eastAsia="Calibri" w:hAnsi="Calibri"/>
          <w:b/>
          <w:bCs/>
          <w:color w:val="0D2A4D"/>
          <w:sz w:val="30"/>
          <w:szCs w:val="30"/>
        </w:rPr>
        <w:t xml:space="preserve">6. Qué está simulado y qué requiere producción</w:t>
      </w:r>
    </w:p>
    <w:p>
      <w:pPr>
        <w:spacing w:after="160" w:line="288"/>
        <w:jc w:val="both"/>
      </w:pPr>
      <w:r>
        <w:rPr>
          <w:rFonts w:ascii="Calibri" w:cs="Calibri" w:eastAsia="Calibri" w:hAnsi="Calibri"/>
          <w:b w:val="false"/>
          <w:bCs w:val="false"/>
          <w:i w:val="false"/>
          <w:iCs w:val="false"/>
          <w:color w:val="1A2333"/>
          <w:sz w:val="21"/>
          <w:szCs w:val="21"/>
        </w:rPr>
        <w:t xml:space="preserve">Para que no haya ambigüedad sobre el alcance de este entregable, la siguiente tabla resume qué es una simulación dentro del mockup y qué debe conectarse a un servicio real para operar en producción. Esta misma información está disponible dentro del mockup, en Configuración → "Qué está simulado".</w:t>
      </w:r>
    </w:p>
    <w:tbl>
      <w:tblPr>
        <w:tblW w:type="dxa" w:w="9860"/>
        <w:tblBorders>
          <w:top w:val="single" w:color="D9E0EB" w:sz="4"/>
          <w:left w:val="single" w:color="D9E0EB" w:sz="4"/>
          <w:bottom w:val="single" w:color="D9E0EB" w:sz="4"/>
          <w:right w:val="single" w:color="D9E0EB" w:sz="4"/>
          <w:insideH w:val="single" w:color="D9E0EB" w:sz="4"/>
          <w:insideV w:val="single" w:color="D9E0EB" w:sz="4"/>
        </w:tblBorders>
      </w:tblPr>
      <w:tblGrid>
        <w:gridCol w:w="4930"/>
        <w:gridCol w:w="4930"/>
      </w:tblGrid>
      <w:tr>
        <w:trPr>
          <w:tblHeader/>
        </w:trPr>
        <w:tc>
          <w:tcPr>
            <w:tcW w:type="dxa" w:w="4930"/>
            <w:shd w:fill="164B86"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Simulado en este mockup</w:t>
            </w:r>
          </w:p>
        </w:tc>
        <w:tc>
          <w:tcPr>
            <w:tcW w:type="dxa" w:w="4930"/>
            <w:shd w:fill="164B86"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Requerirá conexión real en producción</w:t>
            </w:r>
          </w:p>
        </w:tc>
      </w:tr>
      <w:tr>
        <w:tc>
          <w:tcPr>
            <w:tcW w:type="dxa" w:w="4930"/>
            <w:tcMar>
              <w:top w:type="dxa" w:w="90"/>
              <w:left w:type="dxa" w:w="110"/>
              <w:bottom w:type="dxa" w:w="90"/>
              <w:right w:type="dxa" w:w="110"/>
            </w:tcMar>
            <w:vAlign w:val="center"/>
          </w:tcPr>
          <w:p>
            <w:r>
              <w:rPr>
                <w:rFonts w:ascii="Calibri" w:cs="Calibri" w:eastAsia="Calibri" w:hAnsi="Calibri"/>
                <w:b w:val="false"/>
                <w:bCs w:val="false"/>
                <w:color w:val="1A2333"/>
                <w:sz w:val="19"/>
                <w:szCs w:val="19"/>
              </w:rPr>
              <w:t xml:space="preserve">Inicio de sesión: cualquier contraseña es válida para los usuarios de demostración (excepto la cuenta real configurada).</w:t>
            </w:r>
          </w:p>
        </w:tc>
        <w:tc>
          <w:tcPr>
            <w:tcW w:type="dxa" w:w="4930"/>
            <w:tcMar>
              <w:top w:type="dxa" w:w="90"/>
              <w:left w:type="dxa" w:w="110"/>
              <w:bottom w:type="dxa" w:w="90"/>
              <w:right w:type="dxa" w:w="110"/>
            </w:tcMar>
            <w:vAlign w:val="center"/>
          </w:tcPr>
          <w:p>
            <w:r>
              <w:rPr>
                <w:rFonts w:ascii="Calibri" w:cs="Calibri" w:eastAsia="Calibri" w:hAnsi="Calibri"/>
                <w:b w:val="false"/>
                <w:bCs w:val="false"/>
                <w:color w:val="1A2333"/>
                <w:sz w:val="19"/>
                <w:szCs w:val="19"/>
              </w:rPr>
              <w:t xml:space="preserve">Un proveedor de identidad real (usuario/contraseña verificado o SSO), con políticas de contraseña y bloqueo de cuentas.</w:t>
            </w:r>
          </w:p>
        </w:tc>
      </w:tr>
      <w:tr>
        <w:tc>
          <w:tcPr>
            <w:tcW w:type="dxa" w:w="4930"/>
            <w:shd w:fill="F6F8FB" w:color="auto" w:val="clear"/>
            <w:tcMar>
              <w:top w:type="dxa" w:w="90"/>
              <w:left w:type="dxa" w:w="110"/>
              <w:bottom w:type="dxa" w:w="90"/>
              <w:right w:type="dxa" w:w="110"/>
            </w:tcMar>
            <w:vAlign w:val="center"/>
          </w:tcPr>
          <w:p>
            <w:r>
              <w:rPr>
                <w:rFonts w:ascii="Calibri" w:cs="Calibri" w:eastAsia="Calibri" w:hAnsi="Calibri"/>
                <w:b w:val="false"/>
                <w:bCs w:val="false"/>
                <w:color w:val="1A2333"/>
                <w:sz w:val="19"/>
                <w:szCs w:val="19"/>
              </w:rPr>
              <w:t xml:space="preserve">Los documentos PDF se guardan como metadatos en el navegador (localStorage), no como archivos reales.</w:t>
            </w:r>
          </w:p>
        </w:tc>
        <w:tc>
          <w:tcPr>
            <w:tcW w:type="dxa" w:w="4930"/>
            <w:shd w:fill="F6F8FB" w:color="auto" w:val="clear"/>
            <w:tcMar>
              <w:top w:type="dxa" w:w="90"/>
              <w:left w:type="dxa" w:w="110"/>
              <w:bottom w:type="dxa" w:w="90"/>
              <w:right w:type="dxa" w:w="110"/>
            </w:tcMar>
            <w:vAlign w:val="center"/>
          </w:tcPr>
          <w:p>
            <w:r>
              <w:rPr>
                <w:rFonts w:ascii="Calibri" w:cs="Calibri" w:eastAsia="Calibri" w:hAnsi="Calibri"/>
                <w:b w:val="false"/>
                <w:bCs w:val="false"/>
                <w:color w:val="1A2333"/>
                <w:sz w:val="19"/>
                <w:szCs w:val="19"/>
              </w:rPr>
              <w:t xml:space="preserve">Un servicio de almacenamiento documental (por ejemplo, un bucket de objetos) con control de versiones y respaldo.</w:t>
            </w:r>
          </w:p>
        </w:tc>
      </w:tr>
      <w:tr>
        <w:tc>
          <w:tcPr>
            <w:tcW w:type="dxa" w:w="4930"/>
            <w:tcMar>
              <w:top w:type="dxa" w:w="90"/>
              <w:left w:type="dxa" w:w="110"/>
              <w:bottom w:type="dxa" w:w="90"/>
              <w:right w:type="dxa" w:w="110"/>
            </w:tcMar>
            <w:vAlign w:val="center"/>
          </w:tcPr>
          <w:p>
            <w:r>
              <w:rPr>
                <w:rFonts w:ascii="Calibri" w:cs="Calibri" w:eastAsia="Calibri" w:hAnsi="Calibri"/>
                <w:b w:val="false"/>
                <w:bCs w:val="false"/>
                <w:color w:val="1A2333"/>
                <w:sz w:val="19"/>
                <w:szCs w:val="19"/>
              </w:rPr>
              <w:t xml:space="preserve">Todo envío de correo, vista previa e historial de notificaciones es simulado y queda marcado como tal en pantalla.</w:t>
            </w:r>
          </w:p>
        </w:tc>
        <w:tc>
          <w:tcPr>
            <w:tcW w:type="dxa" w:w="4930"/>
            <w:tcMar>
              <w:top w:type="dxa" w:w="90"/>
              <w:left w:type="dxa" w:w="110"/>
              <w:bottom w:type="dxa" w:w="90"/>
              <w:right w:type="dxa" w:w="110"/>
            </w:tcMar>
            <w:vAlign w:val="center"/>
          </w:tcPr>
          <w:p>
            <w:r>
              <w:rPr>
                <w:rFonts w:ascii="Calibri" w:cs="Calibri" w:eastAsia="Calibri" w:hAnsi="Calibri"/>
                <w:b w:val="false"/>
                <w:bCs w:val="false"/>
                <w:color w:val="1A2333"/>
                <w:sz w:val="19"/>
                <w:szCs w:val="19"/>
              </w:rPr>
              <w:t xml:space="preserve">Un servicio de correo saliente y un programador de tareas en el servidor que dispare los avisos automáticamente, incluso con la aplicación cerrada.</w:t>
            </w:r>
          </w:p>
        </w:tc>
      </w:tr>
      <w:tr>
        <w:tc>
          <w:tcPr>
            <w:tcW w:type="dxa" w:w="4930"/>
            <w:shd w:fill="F6F8FB" w:color="auto" w:val="clear"/>
            <w:tcMar>
              <w:top w:type="dxa" w:w="90"/>
              <w:left w:type="dxa" w:w="110"/>
              <w:bottom w:type="dxa" w:w="90"/>
              <w:right w:type="dxa" w:w="110"/>
            </w:tcMar>
            <w:vAlign w:val="center"/>
          </w:tcPr>
          <w:p>
            <w:r>
              <w:rPr>
                <w:rFonts w:ascii="Calibri" w:cs="Calibri" w:eastAsia="Calibri" w:hAnsi="Calibri"/>
                <w:b w:val="false"/>
                <w:bCs w:val="false"/>
                <w:color w:val="1A2333"/>
                <w:sz w:val="19"/>
                <w:szCs w:val="19"/>
              </w:rPr>
              <w:t xml:space="preserve">Cada navegador guarda su propia copia local de los datos de la demostración.</w:t>
            </w:r>
          </w:p>
        </w:tc>
        <w:tc>
          <w:tcPr>
            <w:tcW w:type="dxa" w:w="4930"/>
            <w:shd w:fill="F6F8FB" w:color="auto" w:val="clear"/>
            <w:tcMar>
              <w:top w:type="dxa" w:w="90"/>
              <w:left w:type="dxa" w:w="110"/>
              <w:bottom w:type="dxa" w:w="90"/>
              <w:right w:type="dxa" w:w="110"/>
            </w:tcMar>
            <w:vAlign w:val="center"/>
          </w:tcPr>
          <w:p>
            <w:r>
              <w:rPr>
                <w:rFonts w:ascii="Calibri" w:cs="Calibri" w:eastAsia="Calibri" w:hAnsi="Calibri"/>
                <w:b w:val="false"/>
                <w:bCs w:val="false"/>
                <w:color w:val="1A2333"/>
                <w:sz w:val="19"/>
                <w:szCs w:val="19"/>
              </w:rPr>
              <w:t xml:space="preserve">Una base de datos centralizada que persista empresas, obligaciones, períodos, usuarios e historial para todo el equipo.</w:t>
            </w:r>
          </w:p>
        </w:tc>
      </w:tr>
      <w:tr>
        <w:tc>
          <w:tcPr>
            <w:tcW w:type="dxa" w:w="4930"/>
            <w:tcMar>
              <w:top w:type="dxa" w:w="90"/>
              <w:left w:type="dxa" w:w="110"/>
              <w:bottom w:type="dxa" w:w="90"/>
              <w:right w:type="dxa" w:w="110"/>
            </w:tcMar>
            <w:vAlign w:val="center"/>
          </w:tcPr>
          <w:p>
            <w:r>
              <w:rPr>
                <w:rFonts w:ascii="Calibri" w:cs="Calibri" w:eastAsia="Calibri" w:hAnsi="Calibri"/>
                <w:b w:val="false"/>
                <w:bCs w:val="false"/>
                <w:color w:val="1A2333"/>
                <w:sz w:val="19"/>
                <w:szCs w:val="19"/>
              </w:rPr>
              <w:t xml:space="preserve">La exportación de reportes a PDF/Excel solo muestra un aviso de confirmación.</w:t>
            </w:r>
          </w:p>
        </w:tc>
        <w:tc>
          <w:tcPr>
            <w:tcW w:type="dxa" w:w="4930"/>
            <w:tcMar>
              <w:top w:type="dxa" w:w="90"/>
              <w:left w:type="dxa" w:w="110"/>
              <w:bottom w:type="dxa" w:w="90"/>
              <w:right w:type="dxa" w:w="110"/>
            </w:tcMar>
            <w:vAlign w:val="center"/>
          </w:tcPr>
          <w:p>
            <w:r>
              <w:rPr>
                <w:rFonts w:ascii="Calibri" w:cs="Calibri" w:eastAsia="Calibri" w:hAnsi="Calibri"/>
                <w:b w:val="false"/>
                <w:bCs w:val="false"/>
                <w:color w:val="1A2333"/>
                <w:sz w:val="19"/>
                <w:szCs w:val="19"/>
              </w:rPr>
              <w:t xml:space="preserve">Reglas de negocio validadas también en el servidor (no solo en el navegador), y generación real de reportes exportables.</w:t>
            </w:r>
          </w:p>
        </w:tc>
      </w:tr>
    </w:tbl>
    <w:p>
      <w:pPr>
        <w:spacing w:after="220" w:before="40"/>
      </w:pPr>
      <w:r>
        <w:rPr>
          <w:rFonts w:ascii="Calibri" w:cs="Calibri" w:eastAsia="Calibri" w:hAnsi="Calibri"/>
          <w:i/>
          <w:iCs/>
          <w:color w:val="3C4C63"/>
          <w:sz w:val="17"/>
          <w:szCs w:val="17"/>
        </w:rPr>
        <w:t xml:space="preserve">Tabla 4. Alcance simulado vs. alcance de producción.</w:t>
      </w:r>
    </w:p>
    <w:p>
      <w:pPr>
        <w:pStyle w:val="Heading1"/>
        <w:pBdr>
          <w:bottom w:val="single" w:color="164B86" w:sz="8" w:space="6"/>
        </w:pBdr>
        <w:spacing w:after="160" w:before="340"/>
      </w:pPr>
      <w:r>
        <w:rPr>
          <w:rFonts w:ascii="Calibri" w:cs="Calibri" w:eastAsia="Calibri" w:hAnsi="Calibri"/>
          <w:b/>
          <w:bCs/>
          <w:color w:val="0D2A4D"/>
          <w:sz w:val="30"/>
          <w:szCs w:val="30"/>
        </w:rPr>
        <w:t xml:space="preserve">7. Cómo probarlo</w:t>
      </w:r>
    </w:p>
    <w:p>
      <w:pPr>
        <w:spacing w:after="160" w:line="288"/>
        <w:jc w:val="both"/>
      </w:pPr>
      <w:r>
        <w:rPr>
          <w:rFonts w:ascii="Calibri" w:cs="Calibri" w:eastAsia="Calibri" w:hAnsi="Calibri"/>
          <w:b w:val="false"/>
          <w:bCs w:val="false"/>
          <w:i w:val="false"/>
          <w:iCs w:val="false"/>
          <w:color w:val="1A2333"/>
          <w:sz w:val="21"/>
          <w:szCs w:val="21"/>
        </w:rPr>
        <w:t xml:space="preserve">El mockup está publicado como una página privada, accesible desde el enlace ya compartido en la conversación. Para probarlo:</w:t>
      </w:r>
    </w:p>
    <w:p>
      <w:pPr>
        <w:pStyle w:val="ListParagraph"/>
        <w:numPr>
          <w:ilvl w:val="0"/>
          <w:numId w:val="2"/>
        </w:numPr>
        <w:spacing w:after="90" w:line="276"/>
      </w:pPr>
      <w:r>
        <w:rPr>
          <w:rFonts w:ascii="Calibri" w:cs="Calibri" w:eastAsia="Calibri" w:hAnsi="Calibri"/>
          <w:b/>
          <w:bCs/>
          <w:color w:val="0D2A4D"/>
          <w:sz w:val="21"/>
          <w:szCs w:val="21"/>
        </w:rPr>
        <w:t xml:space="preserve">1. Elegir la empresa — </w:t>
      </w:r>
      <w:r>
        <w:rPr>
          <w:rFonts w:ascii="Calibri" w:cs="Calibri" w:eastAsia="Calibri" w:hAnsi="Calibri"/>
          <w:color w:val="1A2333"/>
          <w:sz w:val="21"/>
          <w:szCs w:val="21"/>
        </w:rPr>
        <w:t xml:space="preserve">Se elige entre Laarcourier, Laar Seguridad o Virtual Create; cada una tiene su propio conjunto de obligaciones y datos.</w:t>
      </w:r>
    </w:p>
    <w:p>
      <w:pPr>
        <w:pStyle w:val="ListParagraph"/>
        <w:numPr>
          <w:ilvl w:val="0"/>
          <w:numId w:val="2"/>
        </w:numPr>
        <w:spacing w:after="90" w:line="276"/>
      </w:pPr>
      <w:r>
        <w:rPr>
          <w:rFonts w:ascii="Calibri" w:cs="Calibri" w:eastAsia="Calibri" w:hAnsi="Calibri"/>
          <w:b/>
          <w:bCs/>
          <w:color w:val="0D2A4D"/>
          <w:sz w:val="21"/>
          <w:szCs w:val="21"/>
        </w:rPr>
        <w:t xml:space="preserve">2. Iniciar sesión — </w:t>
      </w:r>
      <w:r>
        <w:rPr>
          <w:rFonts w:ascii="Calibri" w:cs="Calibri" w:eastAsia="Calibri" w:hAnsi="Calibri"/>
          <w:color w:val="1A2333"/>
          <w:sz w:val="21"/>
          <w:szCs w:val="21"/>
        </w:rPr>
        <w:t xml:space="preserve">Para Laarcourier existe la cuenta real usuario "Christian Coque", clave "Financiero1234" (rol Administrador). Para las demás empresas y roles, la pantalla de inicio de sesión lista usuarios de demostración: un clic sobre cualquiera autocompleta sus credenciales.</w:t>
      </w:r>
    </w:p>
    <w:p>
      <w:pPr>
        <w:pStyle w:val="ListParagraph"/>
        <w:numPr>
          <w:ilvl w:val="0"/>
          <w:numId w:val="2"/>
        </w:numPr>
        <w:spacing w:after="90" w:line="276"/>
      </w:pPr>
      <w:r>
        <w:rPr>
          <w:rFonts w:ascii="Calibri" w:cs="Calibri" w:eastAsia="Calibri" w:hAnsi="Calibri"/>
          <w:b/>
          <w:bCs/>
          <w:color w:val="0D2A4D"/>
          <w:sz w:val="21"/>
          <w:szCs w:val="21"/>
        </w:rPr>
        <w:t xml:space="preserve">3. Seguir el recorrido guiado — </w:t>
      </w:r>
      <w:r>
        <w:rPr>
          <w:rFonts w:ascii="Calibri" w:cs="Calibri" w:eastAsia="Calibri" w:hAnsi="Calibri"/>
          <w:color w:val="1A2333"/>
          <w:sz w:val="21"/>
          <w:szCs w:val="21"/>
        </w:rPr>
        <w:t xml:space="preserve">El botón "Recorrido guiado" (arriba, junto al buscador) recrea el flujo completo: crear, asignar responsable, consultar vencimiento, simular recordatorio, cargar evidencia, revisar y finalizar.</w:t>
      </w:r>
    </w:p>
    <w:p>
      <w:pPr>
        <w:pStyle w:val="ListParagraph"/>
        <w:numPr>
          <w:ilvl w:val="0"/>
          <w:numId w:val="2"/>
        </w:numPr>
        <w:spacing w:after="90" w:line="276"/>
      </w:pPr>
      <w:r>
        <w:rPr>
          <w:rFonts w:ascii="Calibri" w:cs="Calibri" w:eastAsia="Calibri" w:hAnsi="Calibri"/>
          <w:b/>
          <w:bCs/>
          <w:color w:val="0D2A4D"/>
          <w:sz w:val="21"/>
          <w:szCs w:val="21"/>
        </w:rPr>
        <w:t xml:space="preserve">4. Probar los roles — </w:t>
      </w:r>
      <w:r>
        <w:rPr>
          <w:rFonts w:ascii="Calibri" w:cs="Calibri" w:eastAsia="Calibri" w:hAnsi="Calibri"/>
          <w:color w:val="1A2333"/>
          <w:sz w:val="21"/>
          <w:szCs w:val="21"/>
        </w:rPr>
        <w:t xml:space="preserve">Cambiar de rol (cerrando sesión y entrando con otro usuario) para comparar qué ve y qué puede hacer un Responsable frente a un Supervisor/Aprobador o un Auditor de solo consulta.</w:t>
      </w:r>
    </w:p>
    <w:p>
      <w:pPr>
        <w:pStyle w:val="Heading1"/>
        <w:pBdr>
          <w:bottom w:val="single" w:color="164B86" w:sz="8" w:space="6"/>
        </w:pBdr>
        <w:spacing w:after="160" w:before="340"/>
      </w:pPr>
      <w:r>
        <w:rPr>
          <w:rFonts w:ascii="Calibri" w:cs="Calibri" w:eastAsia="Calibri" w:hAnsi="Calibri"/>
          <w:b/>
          <w:bCs/>
          <w:color w:val="0D2A4D"/>
          <w:sz w:val="30"/>
          <w:szCs w:val="30"/>
        </w:rPr>
        <w:t xml:space="preserve">8. Próximos pasos recomendados</w:t>
      </w:r>
    </w:p>
    <w:p>
      <w:pPr>
        <w:pStyle w:val="ListParagraph"/>
        <w:numPr>
          <w:ilvl w:val="0"/>
          <w:numId w:val="2"/>
        </w:numPr>
        <w:spacing w:after="90" w:line="276"/>
      </w:pPr>
      <w:r>
        <w:rPr>
          <w:rFonts w:ascii="Calibri" w:cs="Calibri" w:eastAsia="Calibri" w:hAnsi="Calibri"/>
          <w:b/>
          <w:bCs/>
          <w:color w:val="0D2A4D"/>
          <w:sz w:val="21"/>
          <w:szCs w:val="21"/>
        </w:rPr>
        <w:t xml:space="preserve">1. </w:t>
      </w:r>
      <w:r>
        <w:rPr>
          <w:rFonts w:ascii="Calibri" w:cs="Calibri" w:eastAsia="Calibri" w:hAnsi="Calibri"/>
          <w:color w:val="1A2333"/>
          <w:sz w:val="21"/>
          <w:szCs w:val="21"/>
        </w:rPr>
        <w:t xml:space="preserve">Confirmar qué obligaciones, periodicidades y fundamentos legales deben quedar fijos para cada empresa (en el mockup son ilustrativas).</w:t>
      </w:r>
    </w:p>
    <w:p>
      <w:pPr>
        <w:pStyle w:val="ListParagraph"/>
        <w:numPr>
          <w:ilvl w:val="0"/>
          <w:numId w:val="2"/>
        </w:numPr>
        <w:spacing w:after="90" w:line="276"/>
      </w:pPr>
      <w:r>
        <w:rPr>
          <w:rFonts w:ascii="Calibri" w:cs="Calibri" w:eastAsia="Calibri" w:hAnsi="Calibri"/>
          <w:b/>
          <w:bCs/>
          <w:color w:val="0D2A4D"/>
          <w:sz w:val="21"/>
          <w:szCs w:val="21"/>
        </w:rPr>
        <w:t xml:space="preserve">2. </w:t>
      </w:r>
      <w:r>
        <w:rPr>
          <w:rFonts w:ascii="Calibri" w:cs="Calibri" w:eastAsia="Calibri" w:hAnsi="Calibri"/>
          <w:color w:val="1A2333"/>
          <w:sz w:val="21"/>
          <w:szCs w:val="21"/>
        </w:rPr>
        <w:t xml:space="preserve">Levantar la lista definitiva de responsables, suplentes, supervisores y aprobadores reales por área, con sus correos corporativos.</w:t>
      </w:r>
    </w:p>
    <w:p>
      <w:pPr>
        <w:pStyle w:val="ListParagraph"/>
        <w:numPr>
          <w:ilvl w:val="0"/>
          <w:numId w:val="2"/>
        </w:numPr>
        <w:spacing w:after="90" w:line="276"/>
      </w:pPr>
      <w:r>
        <w:rPr>
          <w:rFonts w:ascii="Calibri" w:cs="Calibri" w:eastAsia="Calibri" w:hAnsi="Calibri"/>
          <w:b/>
          <w:bCs/>
          <w:color w:val="0D2A4D"/>
          <w:sz w:val="21"/>
          <w:szCs w:val="21"/>
        </w:rPr>
        <w:t xml:space="preserve">3. </w:t>
      </w:r>
      <w:r>
        <w:rPr>
          <w:rFonts w:ascii="Calibri" w:cs="Calibri" w:eastAsia="Calibri" w:hAnsi="Calibri"/>
          <w:color w:val="1A2333"/>
          <w:sz w:val="21"/>
          <w:szCs w:val="21"/>
        </w:rPr>
        <w:t xml:space="preserve">Decidir el orden de conexión a producción: normalmente conviene empezar por la base de datos y el almacenamiento de documentos, y dejar el servicio de correo automático para una segunda etapa.</w:t>
      </w:r>
    </w:p>
    <w:p>
      <w:pPr>
        <w:pStyle w:val="ListParagraph"/>
        <w:numPr>
          <w:ilvl w:val="0"/>
          <w:numId w:val="2"/>
        </w:numPr>
        <w:spacing w:after="90" w:line="276"/>
      </w:pPr>
      <w:r>
        <w:rPr>
          <w:rFonts w:ascii="Calibri" w:cs="Calibri" w:eastAsia="Calibri" w:hAnsi="Calibri"/>
          <w:b/>
          <w:bCs/>
          <w:color w:val="0D2A4D"/>
          <w:sz w:val="21"/>
          <w:szCs w:val="21"/>
        </w:rPr>
        <w:t xml:space="preserve">4. </w:t>
      </w:r>
      <w:r>
        <w:rPr>
          <w:rFonts w:ascii="Calibri" w:cs="Calibri" w:eastAsia="Calibri" w:hAnsi="Calibri"/>
          <w:color w:val="1A2333"/>
          <w:sz w:val="21"/>
          <w:szCs w:val="21"/>
        </w:rPr>
        <w:t xml:space="preserve">Definir con legal/gerencia las políticas exactas de escalamiento (a quién, después de cuántos días de atraso) y de aprobación de cierres.</w:t>
      </w:r>
    </w:p>
    <w:p>
      <w:pPr>
        <w:pStyle w:val="ListParagraph"/>
        <w:numPr>
          <w:ilvl w:val="0"/>
          <w:numId w:val="2"/>
        </w:numPr>
        <w:spacing w:after="90" w:line="276"/>
      </w:pPr>
      <w:r>
        <w:rPr>
          <w:rFonts w:ascii="Calibri" w:cs="Calibri" w:eastAsia="Calibri" w:hAnsi="Calibri"/>
          <w:b/>
          <w:bCs/>
          <w:color w:val="0D2A4D"/>
          <w:sz w:val="21"/>
          <w:szCs w:val="21"/>
        </w:rPr>
        <w:t xml:space="preserve">5. </w:t>
      </w:r>
      <w:r>
        <w:rPr>
          <w:rFonts w:ascii="Calibri" w:cs="Calibri" w:eastAsia="Calibri" w:hAnsi="Calibri"/>
          <w:color w:val="1A2333"/>
          <w:sz w:val="21"/>
          <w:szCs w:val="21"/>
        </w:rPr>
        <w:t xml:space="preserve">Usar este informe y la sección "Qué está simulado" del mockup como base para solicitar cotizaciones de desarrollo de la versión de producción.</w:t>
      </w:r>
    </w:p>
    <w:p>
      <w:pPr>
        <w:pBdr>
          <w:top w:val="single" w:color="D9E0EB" w:sz="4" w:space="10"/>
        </w:pBdr>
        <w:spacing w:before="400"/>
      </w:pPr>
      <w:r>
        <w:rPr>
          <w:b/>
          <w:bCs/>
          <w:color w:val="164B86"/>
          <w:sz w:val="19"/>
          <w:szCs w:val="19"/>
        </w:rPr>
        <w:t xml:space="preserve">Nota: </w:t>
      </w:r>
      <w:r>
        <w:rPr>
          <w:i/>
          <w:iCs/>
          <w:color w:val="3C4C63"/>
          <w:sz w:val="19"/>
          <w:szCs w:val="19"/>
        </w:rPr>
        <w:t xml:space="preserve">todos los nombres de personas, correos electrónicos, fechas de vencimiento y cifras de este mockup y de este informe son ficticios y se generan de forma relativa a la fecha en que se abre el sistema. No constituyen plazos legales oficiales ni datos de colaboradores reales, salvo la cuenta de acceso configurada expresamente para Laarcourier.</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C4C63"/>
        <w:sz w:val="16"/>
        <w:szCs w:val="16"/>
      </w:rPr>
      <w:t xml:space="preserve">Página </w:t>
    </w:r>
    <w:r>
      <w:rPr>
        <w:color w:val="3C4C63"/>
        <w:sz w:val="16"/>
        <w:szCs w:val="16"/>
      </w:rPr>
      <w:fldChar w:fldCharType="begin"/>
      <w:instrText xml:space="preserve">PAGE</w:instrText>
      <w:fldChar w:fldCharType="separate"/>
      <w:fldChar w:fldCharType="end"/>
    </w:r>
    <w:r>
      <w:rPr>
        <w:color w:val="3C4C63"/>
        <w:sz w:val="16"/>
        <w:szCs w:val="16"/>
      </w:rPr>
      <w:t xml:space="preserve"> de </w:t>
    </w:r>
    <w:r>
      <w:rPr>
        <w:color w:val="3C4C63"/>
        <w:sz w:val="16"/>
        <w:szCs w:val="16"/>
      </w:rPr>
      <w:fldChar w:fldCharType="begin"/>
      <w:instrText xml:space="preserve">NUMPAGES</w:instrText>
      <w:fldChar w:fldCharType="separate"/>
      <w:fldChar w:fldCharType="end"/>
    </w:r>
    <w:r>
      <w:rPr>
        <w:color w:val="3C4C63"/>
        <w:sz w:val="16"/>
        <w:szCs w:val="16"/>
      </w:rPr>
      <w:t xml:space="preserve">   ·   Laarcourier · Laar Seguridad · Virtual Create   ·   Documento de uso interno — datos ficticios de demostración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0EB" w:sz="4" w:space="6"/>
      </w:pBdr>
      <w:tabs>
        <w:tab w:val="right" w:pos="9026"/>
      </w:tabs>
    </w:pPr>
    <w:r>
      <w:rPr>
        <w:b/>
        <w:bCs/>
        <w:color w:val="3C4C63"/>
        <w:sz w:val="16"/>
        <w:szCs w:val="16"/>
      </w:rPr>
      <w:t xml:space="preserve">Matriz Administrativa de Obligaciones</w:t>
    </w:r>
    <w:r>
      <w:rPr>
        <w:color w:val="3C4C63"/>
        <w:sz w:val="16"/>
        <w:szCs w:val="16"/>
      </w:rPr>
      <w:t xml:space="preserve">	Informe de funcionamiento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2026-09-01T20:10:49.245Z</dcterms:created>
  <dcterms:modified xsi:type="dcterms:W3CDTF">2026-09-01T20:10:49.246Z</dcterms:modified>
</cp:coreProperties>
</file>

<file path=docProps/custom.xml><?xml version="1.0" encoding="utf-8"?>
<Properties xmlns="http://schemas.openxmlformats.org/officeDocument/2006/custom-properties" xmlns:vt="http://schemas.openxmlformats.org/officeDocument/2006/docPropsVTypes"/>
</file>