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hite-paper-client-360-dashboard"/>
      <w:r>
        <w:t xml:space="preserve">White Paper — Client 360 Dashboard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David Pereira (RevOps)</w:t>
      </w:r>
      <w:r>
        <w:t xml:space="preserve"> </w:t>
      </w:r>
      <w:r>
        <w:rPr>
          <w:b/>
        </w:rPr>
        <w:t xml:space="preserve">For:</w:t>
      </w:r>
      <w:r>
        <w:t xml:space="preserve"> </w:t>
      </w:r>
      <w:r>
        <w:t xml:space="preserve">Data Engineering / Databricks platform team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2026-07-16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for review — rev. 2026-10-07 (adds the sales-CRM layer: peers,</w:t>
      </w:r>
      <w:r>
        <w:t xml:space="preserve"> </w:t>
      </w:r>
      <w:r>
        <w:t xml:space="preserve">chat/pitch tracking, notes, expiries, idea targeting, daily color)</w:t>
      </w:r>
      <w:r>
        <w:t xml:space="preserve"> </w:t>
      </w:r>
      <w:r>
        <w:rPr>
          <w:b/>
        </w:rPr>
        <w:t xml:space="preserve">Companion:</w:t>
      </w:r>
      <w:r>
        <w:t xml:space="preserve"> </w:t>
      </w:r>
      <w:r>
        <w:t xml:space="preserve">working prototype in this folder (</w:t>
      </w:r>
      <w:r>
        <w:rPr>
          <w:rStyle w:val="VerbatimChar"/>
        </w:rPr>
        <w:t xml:space="preserve">app.py</w:t>
      </w:r>
      <w:r>
        <w:t xml:space="preserve">), runnable today on mock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Give the IC and sales desk a</w:t>
      </w:r>
      <w:r>
        <w:t xml:space="preserve"> </w:t>
      </w:r>
      <w:r>
        <w:rPr>
          <w:b/>
        </w:rPr>
        <w:t xml:space="preserve">single client view across every product line</w:t>
      </w:r>
      <w:r>
        <w:t xml:space="preserve"> </w:t>
      </w:r>
      <w:r>
        <w:t xml:space="preserve">—</w:t>
      </w:r>
      <w:r>
        <w:t xml:space="preserve"> </w:t>
      </w:r>
      <w:r>
        <w:t xml:space="preserve">spot, derivatives, options, credit, and FX — for a client relationship and all of</w:t>
      </w:r>
      <w:r>
        <w:t xml:space="preserve"> </w:t>
      </w:r>
      <w:r>
        <w:t xml:space="preserve">its legal entities. Today this data is spread across separate product tables,</w:t>
      </w:r>
      <w:r>
        <w:t xml:space="preserve"> </w:t>
      </w:r>
      <w:r>
        <w:t xml:space="preserve">dashboards (Sigma, Midas), and the spot-only Client Brief tool. Before a call with,</w:t>
      </w:r>
      <w:r>
        <w:t xml:space="preserve"> </w:t>
      </w:r>
      <w:r>
        <w:t xml:space="preserve">say, Brevan Howard, a salesperson should open one screen and immediately see:</w:t>
      </w:r>
    </w:p>
    <w:p>
      <w:pPr>
        <w:numPr>
          <w:ilvl w:val="0"/>
          <w:numId w:val="1001"/>
        </w:numPr>
        <w:pStyle w:val="Compact"/>
      </w:pPr>
      <w:r>
        <w:t xml:space="preserve">every entity that rolls up to that client,</w:t>
      </w:r>
    </w:p>
    <w:p>
      <w:pPr>
        <w:numPr>
          <w:ilvl w:val="0"/>
          <w:numId w:val="1001"/>
        </w:numPr>
        <w:pStyle w:val="Compact"/>
      </w:pPr>
      <w:r>
        <w:t xml:space="preserve">what they’ve traded recently and in what products,</w:t>
      </w:r>
    </w:p>
    <w:p>
      <w:pPr>
        <w:numPr>
          <w:ilvl w:val="0"/>
          <w:numId w:val="1001"/>
        </w:numPr>
        <w:pStyle w:val="Compact"/>
      </w:pPr>
      <w:r>
        <w:t xml:space="preserve">current positions and risk across products,</w:t>
      </w:r>
    </w:p>
    <w:p>
      <w:pPr>
        <w:numPr>
          <w:ilvl w:val="0"/>
          <w:numId w:val="1001"/>
        </w:numPr>
        <w:pStyle w:val="Compact"/>
      </w:pPr>
      <w:r>
        <w:t xml:space="preserve">open credit facilities and their health,</w:t>
      </w:r>
    </w:p>
    <w:p>
      <w:pPr>
        <w:numPr>
          <w:ilvl w:val="0"/>
          <w:numId w:val="1001"/>
        </w:numPr>
        <w:pStyle w:val="Compact"/>
      </w:pPr>
      <w:r>
        <w:t xml:space="preserve">revenue and margin to FalconX,</w:t>
      </w:r>
    </w:p>
    <w:p>
      <w:pPr>
        <w:numPr>
          <w:ilvl w:val="0"/>
          <w:numId w:val="1001"/>
        </w:numPr>
        <w:pStyle w:val="Compact"/>
      </w:pPr>
      <w:r>
        <w:t xml:space="preserve">recent calls, next steps, and relevant news.</w:t>
      </w:r>
    </w:p>
    <w:p>
      <w:pPr>
        <w:pStyle w:val="FirstParagraph"/>
      </w:pPr>
      <w:r>
        <w:t xml:space="preserve">This document specifies the app and, critically, the</w:t>
      </w:r>
      <w:r>
        <w:t xml:space="preserve"> </w:t>
      </w:r>
      <w:r>
        <w:rPr>
          <w:b/>
        </w:rPr>
        <w:t xml:space="preserve">data contract</w:t>
      </w:r>
      <w:r>
        <w:t xml:space="preserve"> </w:t>
      </w:r>
      <w:r>
        <w:t xml:space="preserve">engineering</w:t>
      </w:r>
      <w:r>
        <w:t xml:space="preserve"> </w:t>
      </w:r>
      <w:r>
        <w:t xml:space="preserve">needs to fulfil. A runnable prototype accompanies it so requirements are concrete,</w:t>
      </w:r>
      <w:r>
        <w:t xml:space="preserve"> </w:t>
      </w:r>
      <w:r>
        <w:t xml:space="preserve">not abstract — it already renders the full UI on fabricated data.</w:t>
      </w:r>
    </w:p>
    <w:p>
      <w:pPr>
        <w:pStyle w:val="Heading2"/>
      </w:pPr>
      <w:bookmarkStart w:id="22" w:name="X9fb793706f564347d026090ff46f8bf72bb9350"/>
      <w:r>
        <w:t xml:space="preserve">2. Background &amp; workflow (from the Jul-10 review)</w:t>
      </w:r>
      <w:bookmarkEnd w:id="22"/>
    </w:p>
    <w:p>
      <w:pPr>
        <w:pStyle w:val="FirstParagraph"/>
      </w:pPr>
      <w:r>
        <w:t xml:space="preserve">The build model we agreed on:</w:t>
      </w:r>
    </w:p>
    <w:p>
      <w:pPr>
        <w:numPr>
          <w:ilvl w:val="0"/>
          <w:numId w:val="1002"/>
        </w:numPr>
        <w:pStyle w:val="Compact"/>
      </w:pPr>
      <w:r>
        <w:t xml:space="preserve">RevOps describes the desired outcomes (this document + the prototype).</w:t>
      </w:r>
    </w:p>
    <w:p>
      <w:pPr>
        <w:numPr>
          <w:ilvl w:val="0"/>
          <w:numId w:val="1002"/>
        </w:numPr>
        <w:pStyle w:val="Compact"/>
      </w:pPr>
      <w:r>
        <w:t xml:space="preserve">Engineering</w:t>
      </w:r>
      <w:r>
        <w:t xml:space="preserve"> </w:t>
      </w:r>
      <w:r>
        <w:rPr>
          <w:b/>
        </w:rPr>
        <w:t xml:space="preserve">prepares/normalizes the underlying Databricks tables</w:t>
      </w:r>
      <w:r>
        <w:t xml:space="preserve"> </w:t>
      </w:r>
      <w:r>
        <w:t xml:space="preserve">— raw</w:t>
      </w:r>
      <w:r>
        <w:t xml:space="preserve"> </w:t>
      </w:r>
      <w:r>
        <w:t xml:space="preserve">product data is messy and needs filtering and a common shape.</w:t>
      </w:r>
    </w:p>
    <w:p>
      <w:pPr>
        <w:numPr>
          <w:ilvl w:val="0"/>
          <w:numId w:val="1002"/>
        </w:numPr>
        <w:pStyle w:val="Compact"/>
      </w:pPr>
      <w:r>
        <w:t xml:space="preserve">The app is a</w:t>
      </w:r>
      <w:r>
        <w:t xml:space="preserve"> </w:t>
      </w:r>
      <w:r>
        <w:rPr>
          <w:b/>
        </w:rPr>
        <w:t xml:space="preserve">folder of code</w:t>
      </w:r>
      <w:r>
        <w:t xml:space="preserve"> </w:t>
      </w:r>
      <w:r>
        <w:t xml:space="preserve">(Streamlit, like Aayushi’s app) that is moved</w:t>
      </w:r>
      <w:r>
        <w:t xml:space="preserve"> </w:t>
      </w:r>
      <w:r>
        <w:t xml:space="preserve">into the Databricks-accessible GitHub location and executed as a Databricks App.</w:t>
      </w:r>
    </w:p>
    <w:p>
      <w:pPr>
        <w:numPr>
          <w:ilvl w:val="0"/>
          <w:numId w:val="1002"/>
        </w:numPr>
        <w:pStyle w:val="Compact"/>
      </w:pPr>
      <w:r>
        <w:t xml:space="preserve">Data access happens through a thin seam so the UI and the queries evolve</w:t>
      </w:r>
      <w:r>
        <w:t xml:space="preserve"> </w:t>
      </w:r>
      <w:r>
        <w:t xml:space="preserve">independently.</w:t>
      </w:r>
    </w:p>
    <w:p>
      <w:pPr>
        <w:pStyle w:val="FirstParagraph"/>
      </w:pPr>
      <w:r>
        <w:t xml:space="preserve">This mirrors the arrangement where the platform team preps tables and the app owner</w:t>
      </w:r>
      <w:r>
        <w:t xml:space="preserve"> </w:t>
      </w:r>
      <w:r>
        <w:t xml:space="preserve">manages app logic.</w:t>
      </w:r>
    </w:p>
    <w:p>
      <w:pPr>
        <w:pStyle w:val="Heading2"/>
      </w:pPr>
      <w:bookmarkStart w:id="23" w:name="constraints-non-negotiable"/>
      <w:r>
        <w:t xml:space="preserve">3. Constraints (non-negotiable)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All data stays inside Databricks.</w:t>
      </w:r>
      <w:r>
        <w:t xml:space="preserve"> </w:t>
      </w:r>
      <w:r>
        <w:t xml:space="preserve">No client data — especially client names —</w:t>
      </w:r>
      <w:r>
        <w:t xml:space="preserve"> </w:t>
      </w:r>
      <w:r>
        <w:t xml:space="preserve">leaves the environment. No external cloud compute, no copying to a laptop, no</w:t>
      </w:r>
      <w:r>
        <w:t xml:space="preserve"> </w:t>
      </w:r>
      <w:r>
        <w:t xml:space="preserve">third-party SaaS. The app runs as a Databricks App against the SQL warehouse /</w:t>
      </w:r>
      <w:r>
        <w:t xml:space="preserve"> </w:t>
      </w:r>
      <w:r>
        <w:t xml:space="preserve">Genie tables.</w:t>
      </w:r>
      <w:r>
        <w:t xml:space="preserve"> </w:t>
      </w:r>
      <w:r>
        <w:rPr>
          <w:i/>
        </w:rPr>
        <w:t xml:space="preserve">(The one exception is public market-news RSS, which contains no</w:t>
      </w:r>
      <w:r>
        <w:rPr>
          <w:i/>
        </w:rPr>
        <w:t xml:space="preserve"> </w:t>
      </w:r>
      <w:r>
        <w:rPr>
          <w:i/>
        </w:rPr>
        <w:t xml:space="preserve">client data.)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Access control</w:t>
      </w:r>
      <w:r>
        <w:t xml:space="preserve"> </w:t>
      </w:r>
      <w:r>
        <w:t xml:space="preserve">follows existing Databricks entitlements; the app inherits the</w:t>
      </w:r>
      <w:r>
        <w:t xml:space="preserve"> </w:t>
      </w:r>
      <w:r>
        <w:t xml:space="preserve">viewer’s permissions. Row/column controls on sensitive fields stay enforced at the</w:t>
      </w:r>
      <w:r>
        <w:t xml:space="preserve"> </w:t>
      </w:r>
      <w:r>
        <w:t xml:space="preserve">warehouse, not in app code.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Security tags</w:t>
      </w:r>
      <w:r>
        <w:t xml:space="preserve"> </w:t>
      </w:r>
      <w:r>
        <w:t xml:space="preserve">on the underlying tables currently reset daily (known issue on</w:t>
      </w:r>
      <w:r>
        <w:t xml:space="preserve"> </w:t>
      </w:r>
      <w:r>
        <w:t xml:space="preserve">the platform side). Whatever table-prep the app depends on must survive that reset</w:t>
      </w:r>
      <w:r>
        <w:t xml:space="preserve"> </w:t>
      </w:r>
      <w:r>
        <w:t xml:space="preserve">or be re-applied by the pipeline.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AI analyst is the one feature that needs a compliance decision</w:t>
      </w:r>
      <w:r>
        <w:t xml:space="preserve"> </w:t>
      </w:r>
      <w:r>
        <w:t xml:space="preserve">— see §10.</w:t>
      </w:r>
      <w:r>
        <w:t xml:space="preserve"> </w:t>
      </w:r>
      <w:r>
        <w:t xml:space="preserve">In the prototype it calls the Anthropic API directly (fine: mock data, no real</w:t>
      </w:r>
      <w:r>
        <w:t xml:space="preserve"> </w:t>
      </w:r>
      <w:r>
        <w:t xml:space="preserve">client names). In production it must run through an in-environment model (Databricks</w:t>
      </w:r>
      <w:r>
        <w:t xml:space="preserve"> </w:t>
      </w:r>
      <w:r>
        <w:t xml:space="preserve">model serving / an approved Claude endpoint) so no client data leaves Databricks.</w:t>
      </w:r>
    </w:p>
    <w:p>
      <w:pPr>
        <w:pStyle w:val="Heading2"/>
      </w:pPr>
      <w:bookmarkStart w:id="24" w:name="what-the-app-shows"/>
      <w:r>
        <w:t xml:space="preserve">4. What the app shows</w:t>
      </w:r>
      <w:bookmarkEnd w:id="24"/>
    </w:p>
    <w:p>
      <w:pPr>
        <w:pStyle w:val="FirstParagraph"/>
      </w:pPr>
      <w:r>
        <w:t xml:space="preserve">The app has two workspaces, switched from the top navigation bar. The selected</w:t>
      </w:r>
      <w:r>
        <w:t xml:space="preserve"> </w:t>
      </w:r>
      <w:r>
        <w:t xml:space="preserve">client stays selected when you move between pages.</w:t>
      </w:r>
    </w:p>
    <w:p>
      <w:pPr>
        <w:pStyle w:val="BodyText"/>
      </w:pPr>
      <w:r>
        <w:rPr>
          <w:b/>
        </w:rPr>
        <w:t xml:space="preserve">Client 360</w:t>
      </w:r>
      <w:r>
        <w:t xml:space="preserve"> </w:t>
      </w:r>
      <w:r>
        <w:t xml:space="preserve">covers one relationship across every product. The sidebar holds the</w:t>
      </w:r>
      <w:r>
        <w:t xml:space="preserve"> </w:t>
      </w:r>
      <w:r>
        <w:t xml:space="preserve">client picker, a per-entity focus filter and the date controls (quick lookback in</w:t>
      </w:r>
      <w:r>
        <w:t xml:space="preserve"> </w:t>
      </w:r>
      <w:r>
        <w:t xml:space="preserve">days/weeks/months/</w:t>
      </w:r>
      <w:r>
        <w:rPr>
          <w:b/>
        </w:rPr>
        <w:t xml:space="preserve">years</w:t>
      </w:r>
      <w:r>
        <w:t xml:space="preserve">, or a</w:t>
      </w:r>
      <w:r>
        <w:t xml:space="preserve"> </w:t>
      </w:r>
      <w:r>
        <w:rPr>
          <w:b/>
        </w:rPr>
        <w:t xml:space="preserve">custom start/end range</w:t>
      </w:r>
      <w:r>
        <w:t xml:space="preserve">). The page opens with a</w:t>
      </w:r>
      <w:r>
        <w:t xml:space="preserve"> </w:t>
      </w:r>
      <w:r>
        <w:t xml:space="preserve">masthead (name, tier, coverage, segment, entity chips) and a cross-product KPI strip,</w:t>
      </w:r>
      <w:r>
        <w:t xml:space="preserve"> </w:t>
      </w:r>
      <w:r>
        <w:t xml:space="preserve">then five tabs. Some tabs have sub-tabs: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 › sub-tab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Backing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 › Summary</w:t>
            </w:r>
          </w:p>
        </w:tc>
        <w:tc>
          <w:p>
            <w:pPr>
              <w:pStyle w:val="Compact"/>
              <w:jc w:val="left"/>
            </w:pPr>
            <w:r>
              <w:t xml:space="preserve">Revenue by product, notional over time, product-activity table, net token flow,</w:t>
            </w:r>
            <w:r>
              <w:t xml:space="preserve"> </w:t>
            </w:r>
            <w:r>
              <w:rPr>
                <w:b/>
              </w:rPr>
              <w:t xml:space="preserve">client-vs-desk positioning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volume_timeseries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get_desk_benchmark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 › Trades</w:t>
            </w:r>
          </w:p>
        </w:tc>
        <w:tc>
          <w:p>
            <w:pPr>
              <w:pStyle w:val="Compact"/>
              <w:jc w:val="left"/>
            </w:pPr>
            <w:r>
              <w:t xml:space="preserve">Filterable unified blotter (product / side / token), size distribution, avg bps by 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get_trades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› Positions</w:t>
            </w:r>
          </w:p>
        </w:tc>
        <w:tc>
          <w:p>
            <w:pPr>
              <w:pStyle w:val="Compact"/>
              <w:jc w:val="left"/>
            </w:pPr>
            <w:r>
              <w:t xml:space="preserve">Gross/long/short exposure, exposure by product and token, position detail (funding, delta, vega)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get_positions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› Options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Multi-leg structure detection</w:t>
            </w:r>
            <w:r>
              <w:t xml:space="preserve"> </w:t>
            </w:r>
            <w:r>
              <w:t xml:space="preserve">(verticals, straddle/strangle, risk reversal, butterfly, iron condor, calendar, covered call), strategy mix, bias, leg 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get_trades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option_structures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› Credit</w:t>
            </w:r>
          </w:p>
        </w:tc>
        <w:tc>
          <w:p>
            <w:pPr>
              <w:pStyle w:val="Compact"/>
              <w:jc w:val="left"/>
            </w:pPr>
            <w:r>
              <w:t xml:space="preserve">Facilities, drawn/collateral, LTV, maturity, margin-health status, alerts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get_credit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Peers</w:t>
            </w:r>
          </w:p>
        </w:tc>
        <w:tc>
          <w:p>
            <w:pPr>
              <w:pStyle w:val="Compact"/>
              <w:jc w:val="left"/>
            </w:pPr>
            <w:r>
              <w:t xml:space="preserve">What similar clients (anonymous cohort, e.g. </w:t>
            </w:r>
            <w:r>
              <w:t xml:space="preserve">“</w:t>
            </w:r>
            <w:r>
              <w:t xml:space="preserve">Macro hedge funds</w:t>
            </w:r>
            <w:r>
              <w:t xml:space="preserve">”</w:t>
            </w:r>
            <w:r>
              <w:t xml:space="preserve">) are doing: product adoption, token mix, trends, direction, popular structures, benchmarks, desk-idea uptake, talking points (§12)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get_peer_activity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get_peer_strategies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get_desk_idea_uptake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Relationship › Brief</w:t>
            </w:r>
          </w:p>
        </w:tc>
        <w:tc>
          <w:p>
            <w:pPr>
              <w:pStyle w:val="Compact"/>
              <w:jc w:val="left"/>
            </w:pPr>
            <w:r>
              <w:t xml:space="preserve">Auto meeting brief, Gong call history, live token news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get_gong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get_news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Relationship › Notes</w:t>
            </w:r>
          </w:p>
        </w:tc>
        <w:tc>
          <w:p>
            <w:pPr>
              <w:pStyle w:val="Compact"/>
              <w:jc w:val="left"/>
            </w:pPr>
            <w:r>
              <w:t xml:space="preserve">Pros-style call notes with auto-hashtags,</w:t>
            </w:r>
            <w:r>
              <w:t xml:space="preserve"> </w:t>
            </w:r>
            <w:r>
              <w:t xml:space="preserve">“</w:t>
            </w:r>
            <w:r>
              <w:t xml:space="preserve">what we know</w:t>
            </w:r>
            <w:r>
              <w:t xml:space="preserve">”</w:t>
            </w:r>
            <w:r>
              <w:t xml:space="preserve">, notes-vs-book verdicts, follow-ups, book-wide</w:t>
            </w:r>
            <w:r>
              <w:t xml:space="preserve"> </w:t>
            </w:r>
            <w:r>
              <w:t xml:space="preserve">“</w:t>
            </w:r>
            <w:r>
              <w:t xml:space="preserve">who has talked about…</w:t>
            </w:r>
            <w:r>
              <w:t xml:space="preserve">”</w:t>
            </w:r>
            <w:r>
              <w:t xml:space="preserve"> </w:t>
            </w:r>
            <w:r>
              <w:t xml:space="preserve">(§14)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Relationship › Pitches &amp; Chat</w:t>
            </w:r>
          </w:p>
        </w:tc>
        <w:tc>
          <w:p>
            <w:pPr>
              <w:pStyle w:val="Compact"/>
              <w:jc w:val="left"/>
            </w:pPr>
            <w:r>
              <w:t xml:space="preserve">Pitch scorecard (</w:t>
            </w:r>
            <w:r>
              <w:t xml:space="preserve">“</w:t>
            </w:r>
            <w:r>
              <w:t xml:space="preserve">we pitched X, it’s up N%, you did / didn’t take it</w:t>
            </w:r>
            <w:r>
              <w:t xml:space="preserve">”</w:t>
            </w:r>
            <w:r>
              <w:t xml:space="preserve">), pass reasons, callbacks, chat engagement / gone quiet, RFQs, chat archive, live extractor audit (§13)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get_trade_ideas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get_chat_messages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get_rfqs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get_price_history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Opus 5.5</w:t>
            </w:r>
            <w:r>
              <w:t xml:space="preserve">: one-click activity summary + live chat, grounded in everything above, including peers, pitches, notes, expiring structures and today’s desk color (§10)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llm.py</w:t>
            </w:r>
            <w:r>
              <w:t xml:space="preserve"> </w:t>
            </w:r>
            <w:r>
              <w:t xml:space="preserve">over the derived context</w:t>
            </w:r>
          </w:p>
        </w:tc>
      </w:tr>
    </w:tbl>
    <w:p>
      <w:pPr>
        <w:pStyle w:val="BodyText"/>
      </w:pPr>
      <w:r>
        <w:rPr>
          <w:b/>
        </w:rPr>
        <w:t xml:space="preserve">Desk pages</w:t>
      </w:r>
      <w:r>
        <w:t xml:space="preserve"> </w:t>
      </w:r>
      <w:r>
        <w:t xml:space="preserve">run across the whole book and ignore the sidebar dates: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Backing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Expiries</w:t>
            </w:r>
          </w:p>
        </w:tc>
        <w:tc>
          <w:p>
            <w:pPr>
              <w:pStyle w:val="Compact"/>
              <w:jc w:val="left"/>
            </w:pPr>
            <w:r>
              <w:t xml:space="preserve">Every live option structure on the book: scope (client / rep’s book / whole book), filters (expiry, trade date, size, structure), mark-to-spot P&amp;L,</w:t>
            </w:r>
            <w:r>
              <w:t xml:space="preserve"> </w:t>
            </w:r>
            <w:r>
              <w:rPr>
                <w:b/>
              </w:rPr>
              <w:t xml:space="preserve">pin risk</w:t>
            </w:r>
            <w:r>
              <w:t xml:space="preserve"> </w:t>
            </w:r>
            <w:r>
              <w:t xml:space="preserve">(≤14d and ≤3% from strike), expiry ladder, Monday digest per salesperson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get_book_trades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get_price_history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Idea targeting</w:t>
            </w:r>
          </w:p>
        </w:tc>
        <w:tc>
          <w:p>
            <w:pPr>
              <w:pStyle w:val="Compact"/>
              <w:jc w:val="left"/>
            </w:pPr>
            <w:r>
              <w:t xml:space="preserve">Type a trade idea (</w:t>
            </w:r>
            <w:r>
              <w:t xml:space="preserve">“</w:t>
            </w:r>
            <w:r>
              <w:t xml:space="preserve">ETH vol into Dec</w:t>
            </w:r>
            <w:r>
              <w:t xml:space="preserve">”</w:t>
            </w:r>
            <w:r>
              <w:t xml:space="preserve">). Clients are ranked by</w:t>
            </w:r>
            <w:r>
              <w:t xml:space="preserve"> </w:t>
            </w:r>
            <w:r>
              <w:t xml:space="preserve">“</w:t>
            </w:r>
            <w:r>
              <w:t xml:space="preserve">who will bite</w:t>
            </w:r>
            <w:r>
              <w:t xml:space="preserve">”</w:t>
            </w:r>
            <w:r>
              <w:t xml:space="preserve">, each with a reason and warnings, and an Opus draft of the pitch. A post-mortem on past ideas feeds the outcomes back into the ranking (§15)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get_book_trades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get_trade_ideas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get_profile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Daily color</w:t>
            </w:r>
          </w:p>
        </w:tc>
        <w:tc>
          <w:p>
            <w:pPr>
              <w:pStyle w:val="Compact"/>
              <w:jc w:val="left"/>
            </w:pPr>
            <w:r>
              <w:t xml:space="preserve">The 4:30pm ET note: σ-sized moves, flow vs. the 20-day average, segment skew, options mix,</w:t>
            </w:r>
            <w:r>
              <w:t xml:space="preserve"> </w:t>
            </w:r>
            <w:r>
              <w:t xml:space="preserve">“</w:t>
            </w:r>
            <w:r>
              <w:t xml:space="preserve">split views</w:t>
            </w:r>
            <w:r>
              <w:t xml:space="preserve">”</w:t>
            </w:r>
            <w:r>
              <w:t xml:space="preserve">. Comes in a desk version, a per-client version (that client’s own flow excluded) and an internal rep sheet (§16)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get_desk_flow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get_price_history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get_news</w:t>
            </w:r>
          </w:p>
        </w:tc>
      </w:tr>
    </w:tbl>
    <w:p>
      <w:pPr>
        <w:pStyle w:val="Heading2"/>
      </w:pPr>
      <w:bookmarkStart w:id="25" w:name="the-data-contract"/>
      <w:r>
        <w:t xml:space="preserve">5. The data contract</w:t>
      </w:r>
      <w:bookmarkEnd w:id="25"/>
    </w:p>
    <w:p>
      <w:pPr>
        <w:pStyle w:val="FirstParagraph"/>
      </w:pPr>
      <w:r>
        <w:t xml:space="preserve">The app talks to data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through the functions in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. Each is a seam:</w:t>
      </w:r>
      <w:r>
        <w:t xml:space="preserve"> </w:t>
      </w:r>
      <w:r>
        <w:t xml:space="preserve">today it returns mock data; going live means replacing the body with a Databricks</w:t>
      </w:r>
      <w:r>
        <w:t xml:space="preserve"> </w:t>
      </w:r>
      <w:r>
        <w:t xml:space="preserve">query that returns</w:t>
      </w:r>
      <w:r>
        <w:t xml:space="preserve"> </w:t>
      </w:r>
      <w:r>
        <w:rPr>
          <w:b/>
        </w:rPr>
        <w:t xml:space="preserve">the documented columns and dtypes</w:t>
      </w:r>
      <w:r>
        <w:t xml:space="preserve">. The UI does not change.</w:t>
      </w:r>
    </w:p>
    <w:p>
      <w:pPr>
        <w:pStyle w:val="BodyText"/>
      </w:pPr>
      <w:r>
        <w:t xml:space="preserve">Functions marked</w:t>
      </w:r>
      <w:r>
        <w:t xml:space="preserve"> </w:t>
      </w:r>
      <w:r>
        <w:rPr>
          <w:b/>
        </w:rPr>
        <w:t xml:space="preserve">[DERIVED]</w:t>
      </w:r>
      <w:r>
        <w:t xml:space="preserve"> </w:t>
      </w:r>
      <w:r>
        <w:t xml:space="preserve">are pure pandas on top of the others —</w:t>
      </w:r>
      <w:r>
        <w:t xml:space="preserve"> </w:t>
      </w:r>
      <w:r>
        <w:rPr>
          <w:b/>
        </w:rPr>
        <w:t xml:space="preserve">no query</w:t>
      </w:r>
      <w:r>
        <w:rPr>
          <w:b/>
        </w:rPr>
        <w:t xml:space="preserve"> </w:t>
      </w:r>
      <w:r>
        <w:rPr>
          <w:b/>
        </w:rPr>
        <w:t xml:space="preserve">needed</w:t>
      </w:r>
      <w:r>
        <w:t xml:space="preserve"> </w:t>
      </w:r>
      <w:r>
        <w:t xml:space="preserve">(that includes options structure detection and the desk comparison).</w:t>
      </w:r>
      <w:r>
        <w:t xml:space="preserve"> </w:t>
      </w:r>
      <w:r>
        <w:t xml:space="preserve">Engineering implements the base functions below: §5.1–5.8 for the client view and</w:t>
      </w:r>
      <w:r>
        <w:t xml:space="preserve"> </w:t>
      </w:r>
      <w:r>
        <w:t xml:space="preserve">§5.9–5.13 for the CRM layer. The full output schema for each one is in its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docstring, which is the source of truth.</w:t>
      </w:r>
    </w:p>
    <w:p>
      <w:pPr>
        <w:pStyle w:val="Heading3"/>
      </w:pPr>
      <w:bookmarkStart w:id="26" w:name="search_parents---liststr"/>
      <w:r>
        <w:t xml:space="preserve">5.1</w:t>
      </w:r>
      <w:r>
        <w:t xml:space="preserve"> </w:t>
      </w:r>
      <w:r>
        <w:rPr>
          <w:rStyle w:val="VerbatimChar"/>
        </w:rPr>
        <w:t xml:space="preserve">search_parents() -&gt; list[str]</w:t>
      </w:r>
      <w:bookmarkEnd w:id="26"/>
    </w:p>
    <w:p>
      <w:pPr>
        <w:pStyle w:val="FirstParagraph"/>
      </w:pPr>
      <w:r>
        <w:t xml:space="preserve">Distinct top-level client relationships for the picker.</w:t>
      </w:r>
    </w:p>
    <w:p>
      <w:pPr>
        <w:pStyle w:val="Heading3"/>
      </w:pPr>
      <w:bookmarkStart w:id="27" w:name="get_entitiesparent---dataframe"/>
      <w:r>
        <w:t xml:space="preserve">5.2</w:t>
      </w:r>
      <w:r>
        <w:t xml:space="preserve"> </w:t>
      </w:r>
      <w:r>
        <w:rPr>
          <w:rStyle w:val="VerbatimChar"/>
        </w:rPr>
        <w:t xml:space="preserve">get_entities(parent) -&gt; DataFrame</w:t>
      </w:r>
      <w:bookmarkEnd w:id="27"/>
    </w:p>
    <w:p>
      <w:pPr>
        <w:pStyle w:val="FirstParagraph"/>
      </w:pPr>
      <w:r>
        <w:t xml:space="preserve">Every legal entity under a parent.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entity_id, entity_name, parent_name, entity_type, status, onboarded</w:t>
      </w:r>
      <w:r>
        <w:t xml:space="preserve">.</w:t>
      </w:r>
    </w:p>
    <w:p>
      <w:pPr>
        <w:pStyle w:val="Heading3"/>
      </w:pPr>
      <w:bookmarkStart w:id="28" w:name="Xc20039a77e67acb6f09ef7461bf27e1cc8a1bc5"/>
      <w:r>
        <w:t xml:space="preserve">5.3</w:t>
      </w:r>
      <w:r>
        <w:t xml:space="preserve"> </w:t>
      </w:r>
      <w:r>
        <w:rPr>
          <w:rStyle w:val="VerbatimChar"/>
        </w:rPr>
        <w:t xml:space="preserve">get_trades(parent, start, end) -&gt; DataFrame</w:t>
      </w:r>
      <w:r>
        <w:t xml:space="preserve"> </w:t>
      </w:r>
      <w:r>
        <w:t xml:space="preserve">← core fact table</w:t>
      </w:r>
      <w:bookmarkEnd w:id="28"/>
    </w:p>
    <w:p>
      <w:pPr>
        <w:pStyle w:val="FirstParagraph"/>
      </w:pPr>
      <w:r>
        <w:t xml:space="preserve">One row per executed trade across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products, all entities, with</w:t>
      </w:r>
      <w:r>
        <w:t xml:space="preserve"> </w:t>
      </w:r>
      <w:r>
        <w:rPr>
          <w:rStyle w:val="VerbatimChar"/>
        </w:rPr>
        <w:t xml:space="preserve">trade_time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(ISO dates). Date-range args support the years lookback</w:t>
      </w:r>
      <w:r>
        <w:t xml:space="preserve"> </w:t>
      </w:r>
      <w:r>
        <w:t xml:space="preserve">and custom range.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trade_time, entity_id, entity_name, product, instrument, token, side, notional_usd, price, bps, revenue_usd, venue, qty, structure_id</w:t>
      </w:r>
      <w:r>
        <w:t xml:space="preserve">.</w:t>
      </w:r>
      <w:r>
        <w:t xml:space="preserve"> </w:t>
      </w:r>
      <w:r>
        <w:rPr>
          <w:rStyle w:val="VerbatimChar"/>
        </w:rPr>
        <w:t xml:space="preserve">product ∈ {Spot, Derivatives, Options, Credit, FX}</w:t>
      </w:r>
      <w:r>
        <w:t xml:space="preserve">;</w:t>
      </w:r>
      <w:r>
        <w:t xml:space="preserve"> </w:t>
      </w:r>
      <w:r>
        <w:rPr>
          <w:rStyle w:val="VerbatimChar"/>
        </w:rPr>
        <w:t xml:space="preserve">side ∈ {Buy, Sell}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— execution price;</w:t>
      </w:r>
      <w:r>
        <w:t xml:space="preserve"> </w:t>
      </w:r>
      <w:r>
        <w:rPr>
          <w:b/>
        </w:rPr>
        <w:t xml:space="preserve">option premium per contract</w:t>
      </w:r>
      <w:r>
        <w:t xml:space="preserve"> </w:t>
      </w:r>
      <w:r>
        <w:t xml:space="preserve">for option legs.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— contracts / units.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structure_id</w:t>
      </w:r>
      <w:r>
        <w:t xml:space="preserve"> </w:t>
      </w:r>
      <w:r>
        <w:t xml:space="preserve">— parent order id that links the legs of one multi-leg options</w:t>
      </w:r>
      <w:r>
        <w:t xml:space="preserve"> </w:t>
      </w:r>
      <w:r>
        <w:t xml:space="preserve">structure. This is what powers strategy detection (condor vs. put spread vs. …).</w:t>
      </w:r>
      <w:r>
        <w:t xml:space="preserve"> </w:t>
      </w:r>
      <w:r>
        <w:t xml:space="preserve">Null for single-instrument trades. If the OMS has no such id, the detector falls</w:t>
      </w:r>
      <w:r>
        <w:t xml:space="preserve"> </w:t>
      </w:r>
      <w:r>
        <w:t xml:space="preserve">back to clustering by entity + underlying + timestamp, but</w:t>
      </w:r>
      <w:r>
        <w:t xml:space="preserve"> </w:t>
      </w:r>
      <w:r>
        <w:rPr>
          <w:b/>
        </w:rPr>
        <w:t xml:space="preserve">supplying it is</w:t>
      </w:r>
      <w:r>
        <w:rPr>
          <w:b/>
        </w:rPr>
        <w:t xml:space="preserve"> </w:t>
      </w:r>
      <w:r>
        <w:rPr>
          <w:b/>
        </w:rPr>
        <w:t xml:space="preserve">strongly preferred</w:t>
      </w:r>
      <w:r>
        <w:t xml:space="preserve"> </w:t>
      </w:r>
      <w:r>
        <w:t xml:space="preserve">for accuracy.</w:t>
      </w:r>
      <w:r>
        <w:t xml:space="preserve"> </w:t>
      </w:r>
      <w:r>
        <w:t xml:space="preserve">- Option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 </w:t>
      </w:r>
      <w:r>
        <w:t xml:space="preserve">format:</w:t>
      </w:r>
      <w:r>
        <w:t xml:space="preserve"> </w:t>
      </w:r>
      <w:r>
        <w:rPr>
          <w:rStyle w:val="VerbatimChar"/>
        </w:rPr>
        <w:t xml:space="preserve">TOKEN-DDMMMYY-STRIKE-{C|P}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BTC-29AUG26-95000-C</w:t>
      </w:r>
      <w:r>
        <w:t xml:space="preserve">).</w:t>
      </w:r>
    </w:p>
    <w:p>
      <w:pPr>
        <w:pStyle w:val="Heading3"/>
      </w:pPr>
      <w:bookmarkStart w:id="29" w:name="get_positionsparent---dataframe"/>
      <w:r>
        <w:t xml:space="preserve">5.4</w:t>
      </w:r>
      <w:r>
        <w:t xml:space="preserve"> </w:t>
      </w:r>
      <w:r>
        <w:rPr>
          <w:rStyle w:val="VerbatimChar"/>
        </w:rPr>
        <w:t xml:space="preserve">get_positions(parent) -&gt; DataFrame</w:t>
      </w:r>
      <w:bookmarkEnd w:id="29"/>
    </w:p>
    <w:p>
      <w:pPr>
        <w:pStyle w:val="FirstParagraph"/>
      </w:pPr>
      <w:r>
        <w:t xml:space="preserve">Current open positions across spot / derivatives / options.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product, instrument, token, direction, qty, avg_price, mark_price, notional_usd, unrealized_pnl, funding_8h_bps, delta, vega_usd</w:t>
      </w:r>
      <w:r>
        <w:t xml:space="preserve"> </w:t>
      </w:r>
      <w:r>
        <w:t xml:space="preserve">(last three null except where the product supplies them).</w:t>
      </w:r>
    </w:p>
    <w:p>
      <w:pPr>
        <w:pStyle w:val="Heading3"/>
      </w:pPr>
      <w:bookmarkStart w:id="30" w:name="get_creditparent---dataframe"/>
      <w:r>
        <w:t xml:space="preserve">5.5</w:t>
      </w:r>
      <w:r>
        <w:t xml:space="preserve"> </w:t>
      </w:r>
      <w:r>
        <w:rPr>
          <w:rStyle w:val="VerbatimChar"/>
        </w:rPr>
        <w:t xml:space="preserve">get_credit(parent) -&gt; DataFrame</w:t>
      </w:r>
      <w:bookmarkEnd w:id="30"/>
    </w:p>
    <w:p>
      <w:pPr>
        <w:pStyle w:val="FirstParagraph"/>
      </w:pPr>
      <w:r>
        <w:t xml:space="preserve">Open credit facilities.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deal_id, entity_name, facility_type, collateral_token, principal_usd, drawn_usd, collateral_usd, ltv_pct, rate_bps, start, maturity, days_to_maturity, status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status ∈ {good, warning, serious, critical}</w:t>
      </w:r>
      <w:r>
        <w:t xml:space="preserve"> </w:t>
      </w:r>
      <w:r>
        <w:t xml:space="preserve">(can be computed from LTV +</w:t>
      </w:r>
      <w:r>
        <w:t xml:space="preserve"> </w:t>
      </w:r>
      <w:r>
        <w:t xml:space="preserve">days-to-maturity, or supplied by the credit desk table).</w:t>
      </w:r>
    </w:p>
    <w:p>
      <w:pPr>
        <w:pStyle w:val="Heading3"/>
      </w:pPr>
      <w:bookmarkStart w:id="31" w:name="get_gongparent-start-end---dataframe"/>
      <w:r>
        <w:t xml:space="preserve">5.6</w:t>
      </w:r>
      <w:r>
        <w:t xml:space="preserve"> </w:t>
      </w:r>
      <w:r>
        <w:rPr>
          <w:rStyle w:val="VerbatimChar"/>
        </w:rPr>
        <w:t xml:space="preserve">get_gong(parent, start, end) -&gt; DataFrame</w:t>
      </w:r>
      <w:bookmarkEnd w:id="31"/>
    </w:p>
    <w:p>
      <w:pPr>
        <w:pStyle w:val="FirstParagraph"/>
      </w:pPr>
      <w:r>
        <w:t xml:space="preserve">Reuses the existing, working query in</w:t>
      </w:r>
      <w:r>
        <w:t xml:space="preserve"> </w:t>
      </w:r>
      <w:r>
        <w:rPr>
          <w:rStyle w:val="VerbatimChar"/>
        </w:rPr>
        <w:t xml:space="preserve">client-brief/app.py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main.salesforce.gong_gong_call_c</w:t>
      </w:r>
      <w:r>
        <w:t xml:space="preserve">.</w:t>
      </w:r>
    </w:p>
    <w:p>
      <w:pPr>
        <w:pStyle w:val="Heading3"/>
      </w:pPr>
      <w:bookmarkStart w:id="32" w:name="Xb8128fb6f473580498c85729b30896638d5b175"/>
      <w:r>
        <w:t xml:space="preserve">5.7</w:t>
      </w:r>
      <w:r>
        <w:t xml:space="preserve"> </w:t>
      </w:r>
      <w:r>
        <w:rPr>
          <w:rStyle w:val="VerbatimChar"/>
        </w:rPr>
        <w:t xml:space="preserve">get_desk_benchmark(tokens, start, end) -&gt; DataFrame</w:t>
      </w:r>
      <w:bookmarkEnd w:id="32"/>
    </w:p>
    <w:p>
      <w:pPr>
        <w:pStyle w:val="FirstParagraph"/>
      </w:pPr>
      <w:r>
        <w:t xml:space="preserve">Desk-wide net flow per token across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clients in the window — the baseline</w:t>
      </w:r>
      <w:r>
        <w:t xml:space="preserve"> </w:t>
      </w:r>
      <w:r>
        <w:t xml:space="preserve">the Overview tab compares one client against. Aggregate over all counterparties;</w:t>
      </w:r>
      <w:r>
        <w:t xml:space="preserve"> </w:t>
      </w:r>
      <w:r>
        <w:rPr>
          <w:b/>
        </w:rPr>
        <w:t xml:space="preserve">return only aggregates, never client names</w:t>
      </w:r>
      <w:r>
        <w:t xml:space="preserve"> </w:t>
      </w:r>
      <w:r>
        <w:t xml:space="preserve">(privacy-safe by construction).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token, desk_buy_usd, desk_sell_usd, desk_net_usd, num_clients</w:t>
      </w:r>
      <w:r>
        <w:t xml:space="preserve">.</w:t>
      </w:r>
    </w:p>
    <w:p>
      <w:pPr>
        <w:pStyle w:val="Heading3"/>
      </w:pPr>
      <w:bookmarkStart w:id="33" w:name="get_newstokens---listdict"/>
      <w:r>
        <w:t xml:space="preserve">5.8</w:t>
      </w:r>
      <w:r>
        <w:t xml:space="preserve"> </w:t>
      </w:r>
      <w:r>
        <w:rPr>
          <w:rStyle w:val="VerbatimChar"/>
        </w:rPr>
        <w:t xml:space="preserve">get_news(tokens) -&gt; list[dict]</w:t>
      </w:r>
      <w:bookmarkEnd w:id="33"/>
    </w:p>
    <w:p>
      <w:pPr>
        <w:pStyle w:val="FirstParagraph"/>
      </w:pPr>
      <w:r>
        <w:t xml:space="preserve">Public crypto RSS, filtered to the client’s tokens (with ticker→name synonyms),</w:t>
      </w:r>
      <w:r>
        <w:t xml:space="preserve"> </w:t>
      </w:r>
      <w:r>
        <w:t xml:space="preserve">deduped, newest-first, cached 15 min. Only call permitted to reach outside</w:t>
      </w:r>
      <w:r>
        <w:t xml:space="preserve"> </w:t>
      </w:r>
      <w:r>
        <w:t xml:space="preserve">Databricks — contains</w:t>
      </w:r>
      <w:r>
        <w:t xml:space="preserve"> </w:t>
      </w:r>
      <w:r>
        <w:rPr>
          <w:b/>
        </w:rPr>
        <w:t xml:space="preserve">no client data</w:t>
      </w:r>
      <w:r>
        <w:t xml:space="preserve">.</w:t>
      </w:r>
    </w:p>
    <w:p>
      <w:pPr>
        <w:pStyle w:val="Heading3"/>
      </w:pPr>
      <w:bookmarkStart w:id="34" w:name="X7cb757fd86f9fde35a3daf4457edb3173556ad3"/>
      <w:r>
        <w:t xml:space="preserve">5.9</w:t>
      </w:r>
      <w:r>
        <w:t xml:space="preserve"> </w:t>
      </w:r>
      <w:r>
        <w:rPr>
          <w:rStyle w:val="VerbatimChar"/>
        </w:rPr>
        <w:t xml:space="preserve">get_profile(parent) -&gt; dict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get_book_trades(start, end) -&gt; DataFrame</w:t>
      </w:r>
      <w:bookmarkEnd w:id="34"/>
    </w:p>
    <w:p>
      <w:pPr>
        <w:pStyle w:val="FirstParagraph"/>
      </w:pPr>
      <w:r>
        <w:t xml:space="preserve">Relationship metadata from the Salesforce Account (tier, coverage,</w:t>
      </w:r>
      <w:r>
        <w:t xml:space="preserve"> </w:t>
      </w:r>
      <w:r>
        <w:rPr>
          <w:b/>
        </w:rPr>
        <w:t xml:space="preserve">segment /</w:t>
      </w:r>
      <w:r>
        <w:rPr>
          <w:b/>
        </w:rPr>
        <w:t xml:space="preserve"> </w:t>
      </w:r>
      <w:r>
        <w:rPr>
          <w:b/>
        </w:rPr>
        <w:t xml:space="preserve">sub-segment</w:t>
      </w:r>
      <w:r>
        <w:t xml:space="preserve"> </w:t>
      </w:r>
      <w:r>
        <w:t xml:space="preserve">per §12.2, main contact, products set up).</w:t>
      </w:r>
      <w:r>
        <w:t xml:space="preserve"> </w:t>
      </w:r>
      <w:r>
        <w:rPr>
          <w:rStyle w:val="VerbatimChar"/>
        </w:rPr>
        <w:t xml:space="preserve">get_book_trades</w:t>
      </w:r>
      <w:r>
        <w:t xml:space="preserve"> </w:t>
      </w:r>
      <w:r>
        <w:t xml:space="preserve">is the</w:t>
      </w:r>
      <w:r>
        <w:t xml:space="preserve"> </w:t>
      </w:r>
      <w:r>
        <w:t xml:space="preserve">§5.3 blotter</w:t>
      </w:r>
      <w:r>
        <w:t xml:space="preserve"> </w:t>
      </w:r>
      <w:r>
        <w:rPr>
          <w:b/>
        </w:rPr>
        <w:t xml:space="preserve">for every client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column. It feeds Expiries, Idea</w:t>
      </w:r>
      <w:r>
        <w:t xml:space="preserve"> </w:t>
      </w:r>
      <w:r>
        <w:t xml:space="preserve">targeting and the daily color, and is internal only.</w:t>
      </w:r>
    </w:p>
    <w:p>
      <w:pPr>
        <w:pStyle w:val="Heading3"/>
      </w:pPr>
      <w:bookmarkStart w:id="35" w:name="X77578e74f92e30fdac09b02846cbcdb18b5afaa"/>
      <w:r>
        <w:t xml:space="preserve">5.10 Peer seams:</w:t>
      </w:r>
      <w:r>
        <w:t xml:space="preserve"> </w:t>
      </w:r>
      <w:r>
        <w:rPr>
          <w:rStyle w:val="VerbatimChar"/>
        </w:rPr>
        <w:t xml:space="preserve">get_peer_activity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get_peer_strategies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get_desk_idea_uptake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get_desk_flow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peer_id_for</w:t>
      </w:r>
      <w:bookmarkEnd w:id="35"/>
    </w:p>
    <w:p>
      <w:pPr>
        <w:pStyle w:val="FirstParagraph"/>
      </w:pPr>
      <w:r>
        <w:rPr>
          <w:b/>
        </w:rPr>
        <w:t xml:space="preserve">Anonymized Databricks views</w:t>
      </w:r>
      <w:r>
        <w:t xml:space="preserve"> </w:t>
      </w:r>
      <w:r>
        <w:t xml:space="preserve">over the unified blotter. The counterparty is</w:t>
      </w:r>
      <w:r>
        <w:t xml:space="preserve"> </w:t>
      </w:r>
      <w:r>
        <w:t xml:space="preserve">replaced by a salted-hash</w:t>
      </w:r>
      <w:r>
        <w:t xml:space="preserve"> </w:t>
      </w:r>
      <w:r>
        <w:rPr>
          <w:rStyle w:val="VerbatimChar"/>
        </w:rPr>
        <w:t xml:space="preserve">peer_id</w:t>
      </w:r>
      <w:r>
        <w:t xml:space="preserve"> </w:t>
      </w:r>
      <w:r>
        <w:t xml:space="preserve">and the requesting client is excluded, so</w:t>
      </w:r>
      <w:r>
        <w:t xml:space="preserve"> </w:t>
      </w:r>
      <w:r>
        <w:t xml:space="preserve">names never leave the view. Activity and strategies are weekly; desk flow is at</w:t>
      </w:r>
      <w:r>
        <w:t xml:space="preserve"> </w:t>
      </w:r>
      <w:r>
        <w:t xml:space="preserve">trade grain (the color day runs 4:30pm → 4:30pm ET).</w:t>
      </w:r>
      <w:r>
        <w:t xml:space="preserve"> </w:t>
      </w:r>
      <w:r>
        <w:rPr>
          <w:rStyle w:val="VerbatimChar"/>
        </w:rPr>
        <w:t xml:space="preserve">peer_id_for(parent)</w:t>
      </w:r>
      <w:r>
        <w:t xml:space="preserve"> </w:t>
      </w:r>
      <w:r>
        <w:t xml:space="preserve">exists</w:t>
      </w:r>
      <w:r>
        <w:t xml:space="preserve"> </w:t>
      </w:r>
      <w:r>
        <w:t xml:space="preserve">only so the app can</w:t>
      </w:r>
      <w:r>
        <w:t xml:space="preserve"> </w:t>
      </w:r>
      <w:r>
        <w:rPr>
          <w:i/>
        </w:rPr>
        <w:t xml:space="preserve">exclude</w:t>
      </w:r>
      <w:r>
        <w:t xml:space="preserve"> </w:t>
      </w:r>
      <w:r>
        <w:t xml:space="preserve">a client’s own rows. It must never be used to</w:t>
      </w:r>
      <w:r>
        <w:t xml:space="preserve"> </w:t>
      </w:r>
      <w:r>
        <w:t xml:space="preserve">re-identify anyone.</w:t>
      </w:r>
    </w:p>
    <w:p>
      <w:pPr>
        <w:pStyle w:val="Heading3"/>
      </w:pPr>
      <w:bookmarkStart w:id="36" w:name="X295f3b13c1bd149399f16b0a086baea12ac3f50"/>
      <w:r>
        <w:t xml:space="preserve">5.11 Chat seams:</w:t>
      </w:r>
      <w:r>
        <w:t xml:space="preserve"> </w:t>
      </w:r>
      <w:r>
        <w:rPr>
          <w:rStyle w:val="VerbatimChar"/>
        </w:rPr>
        <w:t xml:space="preserve">get_chat_messages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get_trade_ideas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get_rfqs</w:t>
      </w:r>
      <w:bookmarkEnd w:id="36"/>
    </w:p>
    <w:p>
      <w:pPr>
        <w:pStyle w:val="FirstParagraph"/>
      </w:pPr>
      <w:r>
        <w:t xml:space="preserve">Read from the Telegram archive (§13).</w:t>
      </w:r>
      <w:r>
        <w:t xml:space="preserve"> </w:t>
      </w:r>
      <w:r>
        <w:rPr>
          <w:rStyle w:val="VerbatimChar"/>
        </w:rPr>
        <w:t xml:space="preserve">get_trade_ideas</w:t>
      </w:r>
      <w:r>
        <w:t xml:space="preserve"> </w:t>
      </w:r>
      <w:r>
        <w:t xml:space="preserve">is the output of the nightly</w:t>
      </w:r>
      <w:r>
        <w:t xml:space="preserve"> </w:t>
      </w:r>
      <w:r>
        <w:rPr>
          <w:rStyle w:val="VerbatimChar"/>
        </w:rPr>
        <w:t xml:space="preserve">chat_intel.extract()</w:t>
      </w:r>
      <w:r>
        <w:t xml:space="preserve"> </w:t>
      </w:r>
      <w:r>
        <w:t xml:space="preserve">job. Execution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stored.</w:t>
      </w:r>
      <w:r>
        <w:t xml:space="preserve"> </w:t>
      </w:r>
      <w:r>
        <w:rPr>
          <w:rStyle w:val="VerbatimChar"/>
        </w:rPr>
        <w:t xml:space="preserve">pitches.py</w:t>
      </w:r>
      <w:r>
        <w:t xml:space="preserve"> </w:t>
      </w:r>
      <w:r>
        <w:t xml:space="preserve">infers it by</w:t>
      </w:r>
      <w:r>
        <w:t xml:space="preserve"> </w:t>
      </w:r>
      <w:r>
        <w:t xml:space="preserve">matching ideas against</w:t>
      </w:r>
      <w:r>
        <w:t xml:space="preserve"> </w:t>
      </w:r>
      <w:r>
        <w:rPr>
          <w:rStyle w:val="VerbatimChar"/>
        </w:rPr>
        <w:t xml:space="preserve">get_trades</w:t>
      </w:r>
      <w:r>
        <w:t xml:space="preserve">.</w:t>
      </w:r>
    </w:p>
    <w:p>
      <w:pPr>
        <w:pStyle w:val="Heading3"/>
      </w:pPr>
      <w:bookmarkStart w:id="37" w:name="get_price_history---dataframe"/>
      <w:r>
        <w:t xml:space="preserve">5.12</w:t>
      </w:r>
      <w:r>
        <w:t xml:space="preserve"> </w:t>
      </w:r>
      <w:r>
        <w:rPr>
          <w:rStyle w:val="VerbatimChar"/>
        </w:rPr>
        <w:t xml:space="preserve">get_price_history() -&gt; DataFrame</w:t>
      </w:r>
      <w:bookmarkEnd w:id="37"/>
    </w:p>
    <w:p>
      <w:pPr>
        <w:pStyle w:val="FirstParagraph"/>
      </w:pPr>
      <w:r>
        <w:t xml:space="preserve">Daily close per token, about 3 years (</w:t>
      </w:r>
      <w:r>
        <w:rPr>
          <w:rStyle w:val="VerbatimChar"/>
        </w:rPr>
        <w:t xml:space="preserve">date, token, close</w:t>
      </w:r>
      <w:r>
        <w:t xml:space="preserve">). This is market data,</w:t>
      </w:r>
      <w:r>
        <w:t xml:space="preserve"> </w:t>
      </w:r>
      <w:r>
        <w:t xml:space="preserve">not client data. It marks pitched ideas and drives move detection in the daily color.</w:t>
      </w:r>
    </w:p>
    <w:p>
      <w:pPr>
        <w:pStyle w:val="Heading3"/>
      </w:pPr>
      <w:bookmarkStart w:id="38" w:name="Xe0d8a016c858d45bef110255de4f1f18475aa4c"/>
      <w:r>
        <w:t xml:space="preserve">5.13</w:t>
      </w:r>
      <w:r>
        <w:t xml:space="preserve"> </w:t>
      </w:r>
      <w:r>
        <w:rPr>
          <w:rStyle w:val="VerbatimChar"/>
        </w:rPr>
        <w:t xml:space="preserve">get_notes(parent|None, start, end)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save_note(...)</w:t>
      </w:r>
      <w:r>
        <w:t xml:space="preserve"> </w:t>
      </w:r>
      <w:r>
        <w:t xml:space="preserve">← the one WRITE path</w:t>
      </w:r>
      <w:bookmarkEnd w:id="38"/>
    </w:p>
    <w:p>
      <w:pPr>
        <w:pStyle w:val="FirstParagraph"/>
      </w:pPr>
      <w:r>
        <w:t xml:space="preserve">An append-only Delta table (e.g. </w:t>
      </w:r>
      <w:r>
        <w:rPr>
          <w:rStyle w:val="VerbatimChar"/>
        </w:rPr>
        <w:t xml:space="preserve">main.client360.crm_notes</w:t>
      </w:r>
      <w:r>
        <w:t xml:space="preserve">). An edit is written as a</w:t>
      </w:r>
      <w:r>
        <w:t xml:space="preserve"> </w:t>
      </w:r>
      <w:r>
        <w:t xml:space="preserve">new row that references the old</w:t>
      </w:r>
      <w:r>
        <w:t xml:space="preserve"> </w:t>
      </w:r>
      <w:r>
        <w:rPr>
          <w:rStyle w:val="VerbatimChar"/>
        </w:rPr>
        <w:t xml:space="preserve">note_id</w:t>
      </w:r>
      <w:r>
        <w:t xml:space="preserve">, which keeps the history auditable. Tags are</w:t>
      </w:r>
      <w:r>
        <w:t xml:space="preserve"> </w:t>
      </w:r>
      <w:r>
        <w:t xml:space="preserve">computed inside</w:t>
      </w:r>
      <w:r>
        <w:t xml:space="preserve"> </w:t>
      </w:r>
      <w:r>
        <w:rPr>
          <w:rStyle w:val="VerbatimChar"/>
        </w:rPr>
        <w:t xml:space="preserve">save_note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tags.py</w:t>
      </w:r>
      <w:r>
        <w:t xml:space="preserve">), so every writer (the app, a Slack shortcut,</w:t>
      </w:r>
      <w:r>
        <w:t xml:space="preserve"> </w:t>
      </w:r>
      <w:r>
        <w:t xml:space="preserve">a Salesforce sync) tags notes the same way.</w:t>
      </w:r>
    </w:p>
    <w:p>
      <w:pPr>
        <w:pStyle w:val="Heading2"/>
      </w:pPr>
      <w:bookmarkStart w:id="39" w:name="critical-dependency-entity-resolution"/>
      <w:r>
        <w:t xml:space="preserve">6. Critical dependency — entity resolution</w:t>
      </w:r>
      <w:bookmarkEnd w:id="39"/>
    </w:p>
    <w:p>
      <w:pPr>
        <w:pStyle w:val="FirstParagraph"/>
      </w:pPr>
      <w:r>
        <w:rPr>
          <w:b/>
        </w:rPr>
        <w:t xml:space="preserve">This is the single biggest ask and the main thing that does not exist today.</w:t>
      </w:r>
    </w:p>
    <w:p>
      <w:pPr>
        <w:pStyle w:val="BodyText"/>
      </w:pPr>
      <w:r>
        <w:t xml:space="preserve">The spot table (</w:t>
      </w:r>
      <w:r>
        <w:rPr>
          <w:rStyle w:val="VerbatimChar"/>
        </w:rPr>
        <w:t xml:space="preserve">main.otc_analytics.trade_log</w:t>
      </w:r>
      <w:r>
        <w:t xml:space="preserve">) keys on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, a free-text</w:t>
      </w:r>
      <w:r>
        <w:t xml:space="preserve"> </w:t>
      </w:r>
      <w:r>
        <w:t xml:space="preserve">name with many spellings and no notion of a parent client or its sub-entities. The</w:t>
      </w:r>
      <w:r>
        <w:t xml:space="preserve"> </w:t>
      </w:r>
      <w:r>
        <w:t xml:space="preserve">whole value of Client 360 is rolling</w:t>
      </w:r>
      <w:r>
        <w:t xml:space="preserve"> </w:t>
      </w:r>
      <w:r>
        <w:rPr>
          <w:b/>
        </w:rPr>
        <w:t xml:space="preserve">BH Digital LP</w:t>
      </w:r>
      <w:r>
        <w:t xml:space="preserve">,</w:t>
      </w:r>
      <w:r>
        <w:t xml:space="preserve"> </w:t>
      </w:r>
      <w:r>
        <w:rPr>
          <w:b/>
        </w:rPr>
        <w:t xml:space="preserve">Brevan Howard Master Fund</w:t>
      </w:r>
      <w:r>
        <w:rPr>
          <w:b/>
        </w:rPr>
        <w:t xml:space="preserve"> </w:t>
      </w:r>
      <w:r>
        <w:rPr>
          <w:b/>
        </w:rPr>
        <w:t xml:space="preserve">Ltd</w:t>
      </w:r>
      <w:r>
        <w:t xml:space="preserve">, etc. up to one</w:t>
      </w:r>
      <w:r>
        <w:t xml:space="preserve"> </w:t>
      </w:r>
      <w:r>
        <w:rPr>
          <w:b/>
        </w:rPr>
        <w:t xml:space="preserve">Brevan Howard</w:t>
      </w:r>
      <w:r>
        <w:t xml:space="preserve"> </w:t>
      </w:r>
      <w:r>
        <w:t xml:space="preserve">relationship.</w:t>
      </w:r>
    </w:p>
    <w:p>
      <w:pPr>
        <w:pStyle w:val="BodyText"/>
      </w:pPr>
      <w:r>
        <w:t xml:space="preserve">We need a maintained mapping table, ideally sourced from onboarding/KYC:</w:t>
      </w:r>
    </w:p>
    <w:p>
      <w:pPr>
        <w:pStyle w:val="SourceCode"/>
      </w:pPr>
      <w:r>
        <w:rPr>
          <w:rStyle w:val="VerbatimChar"/>
        </w:rPr>
        <w:t xml:space="preserve">parent_name  →  entity_id  →  { entity_name, entity_type, onboarded, status }</w:t>
      </w:r>
    </w:p>
    <w:p>
      <w:pPr>
        <w:pStyle w:val="FirstParagraph"/>
      </w:pPr>
      <w:r>
        <w:t xml:space="preserve">plus a reconciliation from each product table’s counterparty identifier to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. Everything else composes cleanly once this exists.</w:t>
      </w:r>
    </w:p>
    <w:p>
      <w:pPr>
        <w:pStyle w:val="Heading2"/>
      </w:pPr>
      <w:bookmarkStart w:id="40" w:name="source-tables-to-normalize"/>
      <w:r>
        <w:t xml:space="preserve">7. Source tables to normalize</w:t>
      </w:r>
      <w:bookmarkEnd w:id="40"/>
    </w:p>
    <w:p>
      <w:pPr>
        <w:pStyle w:val="FirstParagraph"/>
      </w:pPr>
      <w:r>
        <w:t xml:space="preserve">The app expects one</w:t>
      </w:r>
      <w:r>
        <w:t xml:space="preserve"> </w:t>
      </w:r>
      <w:r>
        <w:rPr>
          <w:b/>
        </w:rPr>
        <w:t xml:space="preserve">unified, cleaned</w:t>
      </w:r>
      <w:r>
        <w:t xml:space="preserve"> </w:t>
      </w:r>
      <w:r>
        <w:t xml:space="preserve">trade shape and one position shape. From the</w:t>
      </w:r>
      <w:r>
        <w:t xml:space="preserve"> </w:t>
      </w:r>
      <w:r>
        <w:t xml:space="preserve">review, the cleaned product data lives in the Genie spaces. Engineering maps each</w:t>
      </w:r>
      <w:r>
        <w:t xml:space="preserve"> </w:t>
      </w:r>
      <w:r>
        <w:t xml:space="preserve">source into the common schema (§5.3 / §5.4):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(confirm exact names)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main.otc_analytics.trade_log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trade_type='order'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pnl_usd</w:t>
            </w:r>
            <w:r>
              <w:t xml:space="preserve"> </w:t>
            </w:r>
            <w:r>
              <w:t xml:space="preserve">not null)</w:t>
            </w:r>
          </w:p>
        </w:tc>
        <w:tc>
          <w:p>
            <w:pPr>
              <w:pStyle w:val="Compact"/>
              <w:jc w:val="left"/>
            </w:pPr>
            <w:r>
              <w:t xml:space="preserve">Already used by Revenue Intel / Client Brief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Derivatives</w:t>
            </w:r>
          </w:p>
        </w:tc>
        <w:tc>
          <w:p>
            <w:pPr>
              <w:pStyle w:val="Compact"/>
              <w:jc w:val="left"/>
            </w:pPr>
            <w:r>
              <w:t xml:space="preserve">Genie: derivatives trades + positions</w:t>
            </w:r>
          </w:p>
        </w:tc>
        <w:tc>
          <w:p>
            <w:pPr>
              <w:pStyle w:val="Compact"/>
              <w:jc w:val="left"/>
            </w:pPr>
            <w:r>
              <w:t xml:space="preserve">Perps/futures; funding for positions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p>
            <w:pPr>
              <w:pStyle w:val="Compact"/>
              <w:jc w:val="left"/>
            </w:pPr>
            <w:r>
              <w:t xml:space="preserve">Genie: options trades + risk</w:t>
            </w:r>
          </w:p>
        </w:tc>
        <w:tc>
          <w:p>
            <w:pPr>
              <w:pStyle w:val="Compact"/>
              <w:jc w:val="left"/>
            </w:pPr>
            <w:r>
              <w:t xml:space="preserve">Greeks (delta, vega) from the risk table. Include a</w:t>
            </w:r>
            <w:r>
              <w:t xml:space="preserve"> </w:t>
            </w:r>
            <w:r>
              <w:rPr>
                <w:b/>
              </w:rPr>
              <w:t xml:space="preserve">parent-order / structure id</w:t>
            </w:r>
            <w:r>
              <w:t xml:space="preserve"> </w:t>
            </w:r>
            <w:r>
              <w:t xml:space="preserve">on option legs if the OMS has one (powers strategy detection — see §5.3).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p>
            <w:pPr>
              <w:pStyle w:val="Compact"/>
              <w:jc w:val="left"/>
            </w:pPr>
            <w:r>
              <w:t xml:space="preserve">Credit desk deal table + collateral marks</w:t>
            </w:r>
          </w:p>
        </w:tc>
        <w:tc>
          <w:p>
            <w:pPr>
              <w:pStyle w:val="Compact"/>
              <w:jc w:val="left"/>
            </w:pPr>
            <w:r>
              <w:t xml:space="preserve">Facilities, LTV, maturities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p>
            <w:pPr>
              <w:pStyle w:val="Compact"/>
              <w:jc w:val="left"/>
            </w:pPr>
            <w:r>
              <w:t xml:space="preserve">FX trades table</w:t>
            </w:r>
          </w:p>
        </w:tc>
        <w:tc>
          <w:p/>
        </w:tc>
      </w:tr>
    </w:tbl>
    <w:p>
      <w:pPr>
        <w:pStyle w:val="BodyText"/>
      </w:pPr>
      <w:r>
        <w:t xml:space="preserve">We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need the app to compute risk — we need the desk’s existing marks and</w:t>
      </w:r>
      <w:r>
        <w:t xml:space="preserve"> </w:t>
      </w:r>
      <w:r>
        <w:t xml:space="preserve">greeks surfaced. Where a product has no clean table yet, we phase it in (§9).</w:t>
      </w:r>
    </w:p>
    <w:p>
      <w:pPr>
        <w:pStyle w:val="BodyText"/>
      </w:pPr>
      <w:r>
        <w:rPr>
          <w:b/>
        </w:rPr>
        <w:t xml:space="preserve">Options structure detection</w:t>
      </w:r>
      <w:r>
        <w:t xml:space="preserve"> </w:t>
      </w:r>
      <w:r>
        <w:t xml:space="preserve">(condor / put spread / covered call / …) is done in</w:t>
      </w:r>
      <w:r>
        <w:t xml:space="preserve"> </w:t>
      </w:r>
      <w:r>
        <w:t xml:space="preserve">the app from the legs — no extra table needed. It only needs (a) the option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 </w:t>
      </w:r>
      <w:r>
        <w:t xml:space="preserve">in the standard</w:t>
      </w:r>
      <w:r>
        <w:t xml:space="preserve"> </w:t>
      </w:r>
      <w:r>
        <w:rPr>
          <w:rStyle w:val="VerbatimChar"/>
        </w:rPr>
        <w:t xml:space="preserve">TOKEN-DDMMMYY-STRIKE-{C|P}</w:t>
      </w:r>
      <w:r>
        <w:t xml:space="preserve"> </w:t>
      </w:r>
      <w:r>
        <w:t xml:space="preserve">format and, ideally,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structure_id</w:t>
      </w:r>
      <w:r>
        <w:t xml:space="preserve"> </w:t>
      </w:r>
      <w:r>
        <w:t xml:space="preserve">to group legs precisely. Without</w:t>
      </w:r>
      <w:r>
        <w:t xml:space="preserve"> </w:t>
      </w:r>
      <w:r>
        <w:rPr>
          <w:rStyle w:val="VerbatimChar"/>
        </w:rPr>
        <w:t xml:space="preserve">structure_id</w:t>
      </w:r>
      <w:r>
        <w:t xml:space="preserve"> </w:t>
      </w:r>
      <w:r>
        <w:t xml:space="preserve">it clusters legs</w:t>
      </w:r>
      <w:r>
        <w:t xml:space="preserve"> </w:t>
      </w:r>
      <w:r>
        <w:t xml:space="preserve">by entity + underlying + timestamp, which is good but not perfect for busy books.</w:t>
      </w:r>
    </w:p>
    <w:p>
      <w:pPr>
        <w:pStyle w:val="Heading2"/>
      </w:pPr>
      <w:bookmarkStart w:id="41" w:name="non-functional-requirements"/>
      <w:r>
        <w:t xml:space="preserve">8. Non-functional requirements</w:t>
      </w:r>
      <w:bookmarkEnd w:id="4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Freshness:</w:t>
      </w:r>
      <w:r>
        <w:t xml:space="preserve"> </w:t>
      </w:r>
      <w:r>
        <w:t xml:space="preserve">intraday is ideal for positions/credit; end-of-day is acceptable for</w:t>
      </w:r>
      <w:r>
        <w:t xml:space="preserve"> </w:t>
      </w:r>
      <w:r>
        <w:t xml:space="preserve">the v1. State the actual latency so the UI can label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queries are always scoped to one parent’s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set and a</w:t>
      </w:r>
      <w:r>
        <w:t xml:space="preserve"> </w:t>
      </w:r>
      <w:r>
        <w:t xml:space="preserve">date window — should be cheap with the right partitioning on</w:t>
      </w:r>
      <w:r>
        <w:t xml:space="preserve"> </w:t>
      </w:r>
      <w:r>
        <w:rPr>
          <w:rStyle w:val="VerbatimChar"/>
        </w:rPr>
        <w:t xml:space="preserve">pdate</w:t>
      </w:r>
      <w:r>
        <w:t xml:space="preserve">/entity.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Warehouse:</w:t>
      </w:r>
      <w:r>
        <w:t xml:space="preserve"> </w:t>
      </w:r>
      <w:r>
        <w:t xml:space="preserve">reuse the existing SQL warehouse (</w:t>
      </w:r>
      <w:r>
        <w:rPr>
          <w:rStyle w:val="VerbatimChar"/>
        </w:rPr>
        <w:t xml:space="preserve">9118f4f27caf0ffe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 </w:t>
      </w:r>
      <w:r>
        <w:t xml:space="preserve">auth pattern already in this repo.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caching of client data outside Databricks.</w:t>
      </w:r>
    </w:p>
    <w:p>
      <w:pPr>
        <w:pStyle w:val="Heading2"/>
      </w:pPr>
      <w:bookmarkStart w:id="42" w:name="phasing"/>
      <w:r>
        <w:t xml:space="preserve">9. Phasing</w:t>
      </w:r>
      <w:bookmarkEnd w:id="4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0 — done:</w:t>
      </w:r>
      <w:r>
        <w:t xml:space="preserve"> </w:t>
      </w:r>
      <w:r>
        <w:t xml:space="preserve">prototype + this spec (mock data, full UI).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1 — Entity resolution:</w:t>
      </w:r>
      <w:r>
        <w:t xml:space="preserve"> </w:t>
      </w:r>
      <w:r>
        <w:t xml:space="preserve">the parent↔entity mapping (§6). Unblocks everything.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2 — Spot + Credit live:</w:t>
      </w:r>
      <w:r>
        <w:t xml:space="preserve"> </w:t>
      </w:r>
      <w:r>
        <w:t xml:space="preserve">spot already exists; credit is the highest-value</w:t>
      </w:r>
      <w:r>
        <w:t xml:space="preserve"> </w:t>
      </w:r>
      <w:r>
        <w:t xml:space="preserve">net-new surface for the desk.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3 — Derivatives + Options:</w:t>
      </w:r>
      <w:r>
        <w:t xml:space="preserve"> </w:t>
      </w:r>
      <w:r>
        <w:t xml:space="preserve">positions, greeks, funding.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4 — FX</w:t>
      </w:r>
      <w:r>
        <w:t xml:space="preserve"> </w:t>
      </w:r>
      <w:r>
        <w:t xml:space="preserve">and intraday refresh.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5 — CRM layer:</w:t>
      </w:r>
      <w:r>
        <w:t xml:space="preserve"> </w:t>
      </w:r>
      <w:r>
        <w:t xml:space="preserve">notes table + segments (no dependencies, so it can start</w:t>
      </w:r>
      <w:r>
        <w:t xml:space="preserve"> </w:t>
      </w:r>
      <w:r>
        <w:t xml:space="preserve">any time), then the anonymized peer views, then the Telegram archive. Daily color</w:t>
      </w:r>
      <w:r>
        <w:t xml:space="preserve"> </w:t>
      </w:r>
      <w:r>
        <w:t xml:space="preserve">and Idea targeting light up once those seams exist.</w:t>
      </w:r>
    </w:p>
    <w:p>
      <w:pPr>
        <w:pStyle w:val="FirstParagraph"/>
      </w:pPr>
      <w:r>
        <w:t xml:space="preserve">Each phase = implement the relevant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function(s); the UI already handles</w:t>
      </w:r>
      <w:r>
        <w:t xml:space="preserve"> </w:t>
      </w:r>
      <w:r>
        <w:t xml:space="preserve">missing products gracefully (empty tabs show</w:t>
      </w:r>
      <w:r>
        <w:t xml:space="preserve"> </w:t>
      </w:r>
      <w:r>
        <w:t xml:space="preserve">“</w:t>
      </w:r>
      <w:r>
        <w:t xml:space="preserve">no activity</w:t>
      </w:r>
      <w:r>
        <w:t xml:space="preserve">”</w:t>
      </w:r>
      <w:r>
        <w:t xml:space="preserve">).</w:t>
      </w:r>
    </w:p>
    <w:p>
      <w:pPr>
        <w:pStyle w:val="Heading2"/>
      </w:pPr>
      <w:bookmarkStart w:id="43" w:name="X14d8f8c2d24adb7b4305d46c33e806f0227cca3"/>
      <w:r>
        <w:t xml:space="preserve">10. The AI analyst — compliance decision required</w:t>
      </w:r>
      <w:bookmarkEnd w:id="43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Analyst ✨</w:t>
      </w:r>
      <w:r>
        <w:t xml:space="preserve"> </w:t>
      </w:r>
      <w:r>
        <w:t xml:space="preserve">tab uses Claude Opus 5.5 to summarize a client’s activity and</w:t>
      </w:r>
      <w:r>
        <w:t xml:space="preserve"> </w:t>
      </w:r>
      <w:r>
        <w:t xml:space="preserve">answer live questions. It reasons only over the context the page already computed</w:t>
      </w:r>
      <w:r>
        <w:t xml:space="preserve"> </w:t>
      </w:r>
      <w:r>
        <w:t xml:space="preserve">(no separate data access).</w:t>
      </w:r>
      <w:r>
        <w:t xml:space="preserve"> </w:t>
      </w:r>
      <w:r>
        <w:rPr>
          <w:b/>
        </w:rPr>
        <w:t xml:space="preserve">But sending that context to a model is a data-egress</w:t>
      </w:r>
      <w:r>
        <w:rPr>
          <w:b/>
        </w:rPr>
        <w:t xml:space="preserve"> </w:t>
      </w:r>
      <w:r>
        <w:rPr>
          <w:b/>
        </w:rPr>
        <w:t xml:space="preserve">decision</w:t>
      </w:r>
      <w:r>
        <w:t xml:space="preserve">, because the context includes client names and positions.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Prototype (today):</w:t>
      </w:r>
      <w:r>
        <w:t xml:space="preserve"> </w:t>
      </w:r>
      <w:r>
        <w:t xml:space="preserve">calls the Anthropic API directly. This is fine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because the prototype runs on mock data — no real client information.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Production requirement:</w:t>
      </w:r>
      <w:r>
        <w:t xml:space="preserve"> </w:t>
      </w:r>
      <w:r>
        <w:t xml:space="preserve">the model call must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send client data outside</w:t>
      </w:r>
      <w:r>
        <w:t xml:space="preserve"> </w:t>
      </w:r>
      <w:r>
        <w:t xml:space="preserve">Databricks. Options, in order of preference: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Databricks Model Serving</w:t>
      </w:r>
      <w:r>
        <w:t xml:space="preserve"> </w:t>
      </w:r>
      <w:r>
        <w:t xml:space="preserve">hosting Claude (or an FMAPI-served model) inside</w:t>
      </w:r>
      <w:r>
        <w:t xml:space="preserve"> </w:t>
      </w:r>
      <w:r>
        <w:t xml:space="preserve">the environment — the context never leaves the tenant.</w:t>
      </w:r>
      <w:r>
        <w:t xml:space="preserve"> </w:t>
      </w:r>
      <w:r>
        <w:rPr>
          <w:i/>
        </w:rPr>
        <w:t xml:space="preserve">(Preferred.)</w:t>
      </w:r>
    </w:p>
    <w:p>
      <w:pPr>
        <w:numPr>
          <w:ilvl w:val="1"/>
          <w:numId w:val="1007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approved, in-VPC Claude endpoint</w:t>
      </w:r>
      <w:r>
        <w:t xml:space="preserve"> </w:t>
      </w:r>
      <w:r>
        <w:t xml:space="preserve">/ gateway already cleared for client data.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Anonymize before sending</w:t>
      </w:r>
      <w:r>
        <w:t xml:space="preserve"> </w:t>
      </w:r>
      <w:r>
        <w:t xml:space="preserve">— replace entity names with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ENTITY_1</w:t>
      </w:r>
      <w:r>
        <w:t xml:space="preserve">, …) and drop identifiers, re-mapping on display. Weaker; needs</w:t>
      </w:r>
      <w:r>
        <w:t xml:space="preserve"> </w:t>
      </w:r>
      <w:r>
        <w:t xml:space="preserve">sign-off.</w:t>
      </w:r>
    </w:p>
    <w:p>
      <w:pPr>
        <w:pStyle w:val="FirstParagraph"/>
      </w:pPr>
      <w:r>
        <w:rPr>
          <w:rStyle w:val="VerbatimChar"/>
        </w:rPr>
        <w:t xml:space="preserve">llm.py</w:t>
      </w:r>
      <w:r>
        <w:t xml:space="preserve"> </w:t>
      </w:r>
      <w:r>
        <w:t xml:space="preserve">is isolated precisely so this swap is a one-file change: point it at the</w:t>
      </w:r>
      <w:r>
        <w:t xml:space="preserve"> </w:t>
      </w:r>
      <w:r>
        <w:t xml:space="preserve">approved endpoint and the rest of the app is unaffected.</w:t>
      </w:r>
      <w:r>
        <w:t xml:space="preserve"> </w:t>
      </w:r>
      <w:r>
        <w:rPr>
          <w:b/>
        </w:rPr>
        <w:t xml:space="preserve">This needs a data-</w:t>
      </w:r>
      <w:r>
        <w:rPr>
          <w:b/>
        </w:rPr>
        <w:t xml:space="preserve"> </w:t>
      </w:r>
      <w:r>
        <w:rPr>
          <w:b/>
        </w:rPr>
        <w:t xml:space="preserve">governance decision before the analyst goes live on real clients.</w:t>
      </w:r>
    </w:p>
    <w:p>
      <w:pPr>
        <w:pStyle w:val="Heading3"/>
      </w:pPr>
      <w:bookmarkStart w:id="44" w:name="every-model-call-in-the-app"/>
      <w:r>
        <w:t xml:space="preserve">10.1 Every model call in the app</w:t>
      </w:r>
      <w:bookmarkEnd w:id="44"/>
    </w:p>
    <w:p>
      <w:pPr>
        <w:pStyle w:val="FirstParagraph"/>
      </w:pPr>
      <w:r>
        <w:t xml:space="preserve">The same egress rule covers all of them. Each one is isolated, so moving to the</w:t>
      </w:r>
      <w:r>
        <w:t xml:space="preserve"> </w:t>
      </w:r>
      <w:r>
        <w:t xml:space="preserve">approved endpoint is the same one-file swap: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summary + chat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llm.py</w:t>
            </w:r>
          </w:p>
        </w:tc>
        <w:tc>
          <w:p>
            <w:pPr>
              <w:pStyle w:val="Compact"/>
              <w:jc w:val="left"/>
            </w:pPr>
            <w:r>
              <w:t xml:space="preserve">Page context for one client, including CRM sections (peers stay anonymous)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→ trade-idea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chat_intel.py</w:t>
            </w:r>
          </w:p>
        </w:tc>
        <w:tc>
          <w:p>
            <w:pPr>
              <w:pStyle w:val="Compact"/>
              <w:jc w:val="left"/>
            </w:pPr>
            <w:r>
              <w:t xml:space="preserve">Raw Telegram messages (</w:t>
            </w:r>
            <w:r>
              <w:rPr>
                <w:b/>
              </w:rPr>
              <w:t xml:space="preserve">the most sensitive input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Idea-targeting pitch drafts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targeting.py</w:t>
            </w:r>
          </w:p>
        </w:tc>
        <w:tc>
          <w:p>
            <w:pPr>
              <w:pStyle w:val="Compact"/>
              <w:jc w:val="left"/>
            </w:pPr>
            <w:r>
              <w:t xml:space="preserve">The idea plus the reasons for the top-ranked clients (client names)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color polish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daily_color.py</w:t>
            </w:r>
          </w:p>
        </w:tc>
        <w:tc>
          <w:p>
            <w:pPr>
              <w:pStyle w:val="Compact"/>
              <w:jc w:val="left"/>
            </w:pPr>
            <w:r>
              <w:t xml:space="preserve">The aggregated note only (no names, no $). It is complete without the model</w:t>
            </w:r>
          </w:p>
        </w:tc>
      </w:tr>
    </w:tbl>
    <w:p>
      <w:pPr>
        <w:pStyle w:val="Heading2"/>
      </w:pPr>
      <w:bookmarkStart w:id="45" w:name="phase-2-caveats-engineering-should-know"/>
      <w:r>
        <w:t xml:space="preserve">11. Phase-2 caveats engineering should know</w:t>
      </w:r>
      <w:bookmarkEnd w:id="4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Expiries netting:</w:t>
      </w:r>
      <w:r>
        <w:t xml:space="preserve"> </w:t>
      </w:r>
      <w:r>
        <w:t xml:space="preserve">the mock never closes options early, so</w:t>
      </w:r>
      <w:r>
        <w:t xml:space="preserve"> </w:t>
      </w:r>
      <w:r>
        <w:rPr>
          <w:rStyle w:val="VerbatimChar"/>
        </w:rPr>
        <w:t xml:space="preserve">expiries.live()</w:t>
      </w:r>
      <w:r>
        <w:t xml:space="preserve"> </w:t>
      </w:r>
      <w:r>
        <w:t xml:space="preserve">treats every traded leg as still open until expiry. Production must</w:t>
      </w:r>
      <w:r>
        <w:t xml:space="preserve"> </w:t>
      </w:r>
      <w:r>
        <w:rPr>
          <w:b/>
        </w:rPr>
        <w:t xml:space="preserve">net option</w:t>
      </w:r>
      <w:r>
        <w:rPr>
          <w:b/>
        </w:rPr>
        <w:t xml:space="preserve"> </w:t>
      </w:r>
      <w:r>
        <w:rPr>
          <w:b/>
        </w:rPr>
        <w:t xml:space="preserve">legs against</w:t>
      </w:r>
      <w:r>
        <w:rPr>
          <w:b/>
        </w:rPr>
        <w:t xml:space="preserve"> </w:t>
      </w:r>
      <w:r>
        <w:rPr>
          <w:rStyle w:val="VerbatimChar"/>
          <w:b/>
        </w:rPr>
        <w:t xml:space="preserve">get_positions</w:t>
      </w:r>
      <w:r>
        <w:t xml:space="preserve"> </w:t>
      </w:r>
      <w:r>
        <w:t xml:space="preserve">(or an OMS close flag) so that structures closed</w:t>
      </w:r>
      <w:r>
        <w:t xml:space="preserve"> </w:t>
      </w:r>
      <w:r>
        <w:t xml:space="preserve">early don’t show up as live pin risk.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Targeting model:</w:t>
      </w:r>
      <w:r>
        <w:t xml:space="preserve"> </w:t>
      </w:r>
      <w:r>
        <w:t xml:space="preserve">a 12-feature, sign-constrained ridge logistic regression</w:t>
      </w:r>
      <w:r>
        <w:t xml:space="preserve"> </w:t>
      </w:r>
      <w:r>
        <w:t xml:space="preserve">(numpy, no sklearn). It starts from documented prior weights until there is enough</w:t>
      </w:r>
      <w:r>
        <w:t xml:space="preserve"> </w:t>
      </w:r>
      <w:r>
        <w:t xml:space="preserve">pitch history. Mock evaluation on a time split gives AUC 0.64 vs. 0.51 for the</w:t>
      </w:r>
      <w:r>
        <w:t xml:space="preserve"> </w:t>
      </w:r>
      <w:r>
        <w:t xml:space="preserve">take-rate baseline, and the top third converts at 50% vs. 35%. Re-check this</w:t>
      </w:r>
      <w:r>
        <w:t xml:space="preserve"> </w:t>
      </w:r>
      <w:r>
        <w:t xml:space="preserve">on real data before anyone relies on the ranking.</w:t>
      </w:r>
    </w:p>
    <w:p>
      <w:pPr>
        <w:pStyle w:val="Heading2"/>
      </w:pPr>
      <w:bookmarkStart w:id="46" w:name="peer-intelligence-privacy-rules"/>
      <w:r>
        <w:t xml:space="preserve">12. Peer intelligence — privacy rules</w:t>
      </w:r>
      <w:bookmarkEnd w:id="46"/>
    </w:p>
    <w:p>
      <w:pPr>
        <w:pStyle w:val="FirstParagraph"/>
      </w:pPr>
      <w:r>
        <w:t xml:space="preserve">Sales wants to say</w:t>
      </w:r>
      <w:r>
        <w:t xml:space="preserve"> </w:t>
      </w:r>
      <w:r>
        <w:t xml:space="preserve">“</w:t>
      </w:r>
      <w:r>
        <w:t xml:space="preserve">other macro funds are doing X</w:t>
      </w:r>
      <w:r>
        <w:t xml:space="preserve">”</w:t>
      </w:r>
      <w:r>
        <w:t xml:space="preserve"> </w:t>
      </w:r>
      <w:r>
        <w:t xml:space="preserve">without revealing who.</w:t>
      </w:r>
    </w:p>
    <w:p>
      <w:pPr>
        <w:pStyle w:val="Heading3"/>
      </w:pPr>
      <w:bookmarkStart w:id="47" w:name="X5b348034954f5bb39aa0de1d37543800719899e"/>
      <w:r>
        <w:t xml:space="preserve">12.1 Rules (enforced in</w:t>
      </w:r>
      <w:r>
        <w:t xml:space="preserve"> </w:t>
      </w:r>
      <w:r>
        <w:rPr>
          <w:rStyle w:val="VerbatimChar"/>
        </w:rPr>
        <w:t xml:space="preserve">peers.py</w:t>
      </w:r>
      <w:r>
        <w:t xml:space="preserve">, reused by the daily color)</w:t>
      </w:r>
      <w:bookmarkEnd w:id="4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k-anonymity:</w:t>
      </w:r>
      <w:r>
        <w:t xml:space="preserve"> </w:t>
      </w:r>
      <w:r>
        <w:t xml:space="preserve">any cell backed by fewer than</w:t>
      </w:r>
      <w:r>
        <w:t xml:space="preserve"> </w:t>
      </w:r>
      <w:r>
        <w:rPr>
          <w:rStyle w:val="VerbatimChar"/>
        </w:rPr>
        <w:t xml:space="preserve">K_MIN = 5</w:t>
      </w:r>
      <w:r>
        <w:t xml:space="preserve"> </w:t>
      </w:r>
      <w:r>
        <w:t xml:space="preserve">distinct peers is</w:t>
      </w:r>
      <w:r>
        <w:t xml:space="preserve"> </w:t>
      </w:r>
      <w:r>
        <w:t xml:space="preserve">suppressed. A cohort smaller than 5 falls back to the next level up</w:t>
      </w:r>
      <w:r>
        <w:t xml:space="preserve"> </w:t>
      </w:r>
      <w:r>
        <w:t xml:space="preserve">(sub-segment → segment → whole book).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Dominance:</w:t>
      </w:r>
      <w:r>
        <w:t xml:space="preserve"> </w:t>
      </w:r>
      <w:r>
        <w:t xml:space="preserve">no single peer may be more than</w:t>
      </w:r>
      <w:r>
        <w:t xml:space="preserve"> </w:t>
      </w:r>
      <w:r>
        <w:rPr>
          <w:rStyle w:val="VerbatimChar"/>
        </w:rPr>
        <w:t xml:space="preserve">DOMINANCE = 60%</w:t>
      </w:r>
      <w:r>
        <w:t xml:space="preserve"> </w:t>
      </w:r>
      <w:r>
        <w:t xml:space="preserve">of a cell’s</w:t>
      </w:r>
      <w:r>
        <w:t xml:space="preserve"> </w:t>
      </w:r>
      <w:r>
        <w:t xml:space="preserve">notional. Without this,</w:t>
      </w:r>
      <w:r>
        <w:t xml:space="preserve"> </w:t>
      </w:r>
      <w:r>
        <w:t xml:space="preserve">“</w:t>
      </w:r>
      <w:r>
        <w:t xml:space="preserve">macro funds bought $400M SOL</w:t>
      </w:r>
      <w:r>
        <w:t xml:space="preserve">”</w:t>
      </w:r>
      <w:r>
        <w:t xml:space="preserve"> </w:t>
      </w:r>
      <w:r>
        <w:t xml:space="preserve">could be one fund.</w:t>
      </w:r>
    </w:p>
    <w:p>
      <w:pPr>
        <w:numPr>
          <w:ilvl w:val="0"/>
          <w:numId w:val="1009"/>
        </w:numPr>
        <w:pStyle w:val="Compact"/>
      </w:pPr>
      <w:r>
        <w:t xml:space="preserve">Peers are described with</w:t>
      </w:r>
      <w:r>
        <w:t xml:space="preserve"> </w:t>
      </w:r>
      <w:r>
        <w:rPr>
          <w:b/>
        </w:rPr>
        <w:t xml:space="preserve">ratios and directions</w:t>
      </w:r>
      <w:r>
        <w:t xml:space="preserve"> </w:t>
      </w:r>
      <w:r>
        <w:t xml:space="preserve">(</w:t>
      </w:r>
      <w:r>
        <w:t xml:space="preserve">“</w:t>
      </w:r>
      <w:r>
        <w:t xml:space="preserve">up ~3.4×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62% buyers</w:t>
      </w:r>
      <w:r>
        <w:t xml:space="preserve">”</w:t>
      </w:r>
      <w:r>
        <w:t xml:space="preserve">),</w:t>
      </w:r>
      <w:r>
        <w:t xml:space="preserve"> </w:t>
      </w:r>
      <w:r>
        <w:t xml:space="preserve">never names. The client being viewed is always excluded from their own cohort.</w:t>
      </w:r>
    </w:p>
    <w:p>
      <w:pPr>
        <w:pStyle w:val="Heading3"/>
      </w:pPr>
      <w:bookmarkStart w:id="48" w:name="X4e18e85a72ba0fecea0bbc1d9a4ffe48cab6342"/>
      <w:r>
        <w:t xml:space="preserve">12.2 Segment taxonomy (needed on the Salesforce Account)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Sub-segments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Hedge Fund</w:t>
            </w:r>
          </w:p>
        </w:tc>
        <w:tc>
          <w:p>
            <w:pPr>
              <w:pStyle w:val="Compact"/>
              <w:jc w:val="left"/>
            </w:pPr>
            <w:r>
              <w:t xml:space="preserve">Macro, Multi-Strategy, Quant, Crypto Discretionary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 Trading</w:t>
            </w:r>
          </w:p>
        </w:tc>
        <w:tc>
          <w:p>
            <w:pPr>
              <w:pStyle w:val="Compact"/>
              <w:jc w:val="left"/>
            </w:pPr>
            <w:r>
              <w:t xml:space="preserve">HFT, Prop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Maker</w:t>
            </w:r>
          </w:p>
        </w:tc>
        <w:tc>
          <w:p>
            <w:pPr>
              <w:pStyle w:val="Compact"/>
              <w:jc w:val="left"/>
            </w:pPr>
            <w:r>
              <w:t xml:space="preserve">Crypto-Native, TradFi Prop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 Manager</w:t>
            </w:r>
          </w:p>
        </w:tc>
        <w:tc>
          <w:p>
            <w:pPr>
              <w:pStyle w:val="Compact"/>
              <w:jc w:val="left"/>
            </w:pPr>
            <w:r>
              <w:t xml:space="preserve">Digital Asset Manager, Traditional 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p>
            <w:pPr>
              <w:pStyle w:val="Compact"/>
              <w:jc w:val="left"/>
            </w:pPr>
            <w:r>
              <w:t xml:space="preserve">Treasury, Miner</w:t>
            </w:r>
          </w:p>
        </w:tc>
      </w:tr>
    </w:tbl>
    <w:p>
      <w:pPr>
        <w:pStyle w:val="Heading2"/>
      </w:pPr>
      <w:bookmarkStart w:id="49" w:name="telegram-chat-archive-bot-pitch-tracking"/>
      <w:r>
        <w:t xml:space="preserve">13. Telegram chat — archive bot + pitch tracking</w:t>
      </w:r>
      <w:bookmarkEnd w:id="49"/>
    </w:p>
    <w:p>
      <w:pPr>
        <w:numPr>
          <w:ilvl w:val="0"/>
          <w:numId w:val="1010"/>
        </w:numPr>
        <w:pStyle w:val="Compact"/>
      </w:pPr>
      <w:r>
        <w:t xml:space="preserve">A FalconX bot is added to each client group. It</w:t>
      </w:r>
      <w:r>
        <w:t xml:space="preserve"> </w:t>
      </w:r>
      <w:r>
        <w:rPr>
          <w:b/>
        </w:rPr>
        <w:t xml:space="preserve">only archives</w:t>
      </w:r>
      <w:r>
        <w:t xml:space="preserve"> </w:t>
      </w:r>
      <w:r>
        <w:t xml:space="preserve">messages and</w:t>
      </w:r>
      <w:r>
        <w:t xml:space="preserve"> </w:t>
      </w:r>
      <w:r>
        <w:t xml:space="preserve">never posts. A coverage-maintained table maps</w:t>
      </w:r>
      <w:r>
        <w:t xml:space="preserve"> </w:t>
      </w:r>
      <w:r>
        <w:rPr>
          <w:rStyle w:val="VerbatimChar"/>
        </w:rPr>
        <w:t xml:space="preserve">chat_id → parent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 nightly job (</w:t>
      </w:r>
      <w:r>
        <w:rPr>
          <w:rStyle w:val="VerbatimChar"/>
        </w:rPr>
        <w:t xml:space="preserve">chat_intel.extract</w:t>
      </w:r>
      <w:r>
        <w:t xml:space="preserve">, structured output validated with</w:t>
      </w:r>
      <w:r>
        <w:t xml:space="preserve"> </w:t>
      </w:r>
      <w:r>
        <w:t xml:space="preserve">Pydantic) pulls out each idea we pitched (token, direction, levels, size,</w:t>
      </w:r>
      <w:r>
        <w:t xml:space="preserve"> </w:t>
      </w:r>
      <w:r>
        <w:t xml:space="preserve">horizon, option legs) and the client’s reaction (Done / Passed + reason / Later /</w:t>
      </w:r>
      <w:r>
        <w:t xml:space="preserve"> </w:t>
      </w:r>
      <w:r>
        <w:t xml:space="preserve">No response). The results go to</w:t>
      </w:r>
      <w:r>
        <w:t xml:space="preserve"> </w:t>
      </w:r>
      <w:r>
        <w:rPr>
          <w:rStyle w:val="VerbatimChar"/>
        </w:rPr>
        <w:t xml:space="preserve">get_trade_ideas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pitches.py</w:t>
      </w:r>
      <w:r>
        <w:t xml:space="preserve"> </w:t>
      </w:r>
      <w:r>
        <w:t xml:space="preserve">then matches ideas to actual trades (time window + token/direction/</w:t>
      </w:r>
      <w:r>
        <w:t xml:space="preserve"> </w:t>
      </w:r>
      <w:r>
        <w:t xml:space="preserve">structure fit), marks them to market, and produces the scorecard and call talking</w:t>
      </w:r>
      <w:r>
        <w:t xml:space="preserve"> </w:t>
      </w:r>
      <w:r>
        <w:t xml:space="preserve">points:</w:t>
      </w:r>
      <w:r>
        <w:t xml:space="preserve"> </w:t>
      </w:r>
      <w:r>
        <w:t xml:space="preserve">“</w:t>
      </w:r>
      <w:r>
        <w:t xml:space="preserve">we pitched X, it’s up N%, you didn’t take it</w:t>
      </w:r>
      <w:r>
        <w:t xml:space="preserve">”</w:t>
      </w:r>
      <w:r>
        <w:t xml:space="preserve">. A pass that would have lost</w:t>
      </w:r>
      <w:r>
        <w:t xml:space="preserve"> </w:t>
      </w:r>
      <w:r>
        <w:t xml:space="preserve">money is shown as</w:t>
      </w:r>
      <w:r>
        <w:t xml:space="preserve"> </w:t>
      </w:r>
      <w:r>
        <w:t xml:space="preserve">“</w:t>
      </w:r>
      <w:r>
        <w:t xml:space="preserve">dodged a loss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Compliance: chat archiving needs client consent and a retention policy. The</w:t>
      </w:r>
      <w:r>
        <w:t xml:space="preserve"> </w:t>
      </w:r>
      <w:r>
        <w:t xml:space="preserve">extractor is an LLM call over raw messages (§10.1).</w:t>
      </w:r>
    </w:p>
    <w:p>
      <w:pPr>
        <w:pStyle w:val="Heading2"/>
      </w:pPr>
      <w:bookmarkStart w:id="50" w:name="crm-notes-the-bloomberg-pros-pattern"/>
      <w:r>
        <w:t xml:space="preserve">14. CRM notes (the Bloomberg</w:t>
      </w:r>
      <w:r>
        <w:t xml:space="preserve"> </w:t>
      </w:r>
      <w:r>
        <w:t xml:space="preserve">“</w:t>
      </w:r>
      <w:r>
        <w:t xml:space="preserve">Pros</w:t>
      </w:r>
      <w:r>
        <w:t xml:space="preserve">”</w:t>
      </w:r>
      <w:r>
        <w:t xml:space="preserve"> </w:t>
      </w:r>
      <w:r>
        <w:t xml:space="preserve">pattern)</w:t>
      </w:r>
      <w:bookmarkEnd w:id="50"/>
    </w:p>
    <w:p>
      <w:pPr>
        <w:pStyle w:val="FirstParagraph"/>
      </w:pPr>
      <w:r>
        <w:t xml:space="preserve">After a call, a salesperson writes free text.</w:t>
      </w:r>
      <w:r>
        <w:t xml:space="preserve"> </w:t>
      </w:r>
      <w:r>
        <w:rPr>
          <w:rStyle w:val="VerbatimChar"/>
        </w:rPr>
        <w:t xml:space="preserve">tags.py</w:t>
      </w:r>
      <w:r>
        <w:t xml:space="preserve"> </w:t>
      </w:r>
      <w:r>
        <w:t xml:space="preserve">turns it into hashtags</w:t>
      </w:r>
      <w:r>
        <w:t xml:space="preserve"> </w:t>
      </w:r>
      <w:r>
        <w:t xml:space="preserve">deterministically (</w:t>
      </w:r>
      <w:r>
        <w:t xml:space="preserve">“</w:t>
      </w:r>
      <w:r>
        <w:t xml:space="preserve">wants a condor into Sept on ETH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#ETH #IronCondor #Options #Vol</w:t>
      </w:r>
      <w:r>
        <w:t xml:space="preserve">), so every tag can be traced back to the words that produced it. A negation</w:t>
      </w:r>
      <w:r>
        <w:t xml:space="preserve"> </w:t>
      </w:r>
      <w:r>
        <w:t xml:space="preserve">is kept as a negative tag (</w:t>
      </w:r>
      <w:r>
        <w:t xml:space="preserve">“</w:t>
      </w:r>
      <w:r>
        <w:t xml:space="preserve">not set up for options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-#Options</w:t>
      </w:r>
      <w:r>
        <w:t xml:space="preserve">), so targeting</w:t>
      </w:r>
      <w:r>
        <w:t xml:space="preserve"> </w:t>
      </w:r>
      <w:r>
        <w:t xml:space="preserve">doesn’t read it as interest. The taxonomy is plain data and can move to a table</w:t>
      </w:r>
      <w:r>
        <w:t xml:space="preserve"> </w:t>
      </w:r>
      <w:r>
        <w:t xml:space="preserve">edited by sales ops. Over time the notes become the queryable client memory</w:t>
      </w:r>
      <w:r>
        <w:t xml:space="preserve"> </w:t>
      </w:r>
      <w:r>
        <w:t xml:space="preserve">(</w:t>
      </w:r>
      <w:r>
        <w:t xml:space="preserve">“</w:t>
      </w:r>
      <w:r>
        <w:t xml:space="preserve">who has talked about vol?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who complained about pricing?</w:t>
      </w:r>
      <w:r>
        <w:t xml:space="preserve">”</w:t>
      </w:r>
      <w:r>
        <w:t xml:space="preserve">).</w:t>
      </w:r>
    </w:p>
    <w:p>
      <w:pPr>
        <w:pStyle w:val="Heading2"/>
      </w:pPr>
      <w:bookmarkStart w:id="51" w:name="idea-targeting-who-will-bite"/>
      <w:r>
        <w:t xml:space="preserve">15. Idea targeting (</w:t>
      </w:r>
      <w:r>
        <w:t xml:space="preserve">“</w:t>
      </w:r>
      <w:r>
        <w:t xml:space="preserve">who will bite?</w:t>
      </w:r>
      <w:r>
        <w:t xml:space="preserve">”</w:t>
      </w:r>
      <w:r>
        <w:t xml:space="preserve">)</w:t>
      </w:r>
      <w:bookmarkEnd w:id="51"/>
    </w:p>
    <w:p>
      <w:pPr>
        <w:pStyle w:val="FirstParagraph"/>
      </w:pPr>
      <w:r>
        <w:t xml:space="preserve">Given an idea,</w:t>
      </w:r>
      <w:r>
        <w:t xml:space="preserve"> </w:t>
      </w:r>
      <w:r>
        <w:rPr>
          <w:rStyle w:val="VerbatimChar"/>
        </w:rPr>
        <w:t xml:space="preserve">targeting.py</w:t>
      </w:r>
      <w:r>
        <w:t xml:space="preserve"> </w:t>
      </w:r>
      <w:r>
        <w:t xml:space="preserve">scores every client on point-in-time features: trades</w:t>
      </w:r>
      <w:r>
        <w:t xml:space="preserve"> </w:t>
      </w:r>
      <w:r>
        <w:t xml:space="preserve">the product / token / structure, notes and chat interest, past take-rate on similar</w:t>
      </w:r>
      <w:r>
        <w:t xml:space="preserve"> </w:t>
      </w:r>
      <w:r>
        <w:t xml:space="preserve">ideas, peer uptake, recency, and set-up status. Clients who aren’t set up for the</w:t>
      </w:r>
      <w:r>
        <w:t xml:space="preserve"> </w:t>
      </w:r>
      <w:r>
        <w:t xml:space="preserve">product are listed as</w:t>
      </w:r>
      <w:r>
        <w:t xml:space="preserve"> </w:t>
      </w:r>
      <w:r>
        <w:t xml:space="preserve">“</w:t>
      </w:r>
      <w:r>
        <w:t xml:space="preserve">Onboard first</w:t>
      </w:r>
      <w:r>
        <w:t xml:space="preserve">”</w:t>
      </w:r>
      <w:r>
        <w:t xml:space="preserve"> </w:t>
      </w:r>
      <w:r>
        <w:t xml:space="preserve">rather than ranked. Each row explains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and what to watch out for. After a pitch,</w:t>
      </w:r>
      <w:r>
        <w:t xml:space="preserve"> </w:t>
      </w:r>
      <w:r>
        <w:t xml:space="preserve">“</w:t>
      </w:r>
      <w:r>
        <w:t xml:space="preserve">pitched to 7, 2 replied</w:t>
      </w:r>
      <w:r>
        <w:t xml:space="preserve">”</w:t>
      </w:r>
      <w:r>
        <w:t xml:space="preserve"> </w:t>
      </w:r>
      <w:r>
        <w:t xml:space="preserve">goes into a</w:t>
      </w:r>
      <w:r>
        <w:t xml:space="preserve"> </w:t>
      </w:r>
      <w:r>
        <w:t xml:space="preserve">post-mortem that refits the weights, which closes the learning loop.</w:t>
      </w:r>
    </w:p>
    <w:p>
      <w:pPr>
        <w:pStyle w:val="Heading2"/>
      </w:pPr>
      <w:bookmarkStart w:id="52" w:name="daily-color-430pm-et"/>
      <w:r>
        <w:t xml:space="preserve">16. Daily color — 4:30pm ET</w:t>
      </w:r>
      <w:bookmarkEnd w:id="52"/>
    </w:p>
    <w:p>
      <w:pPr>
        <w:pStyle w:val="FirstParagraph"/>
      </w:pPr>
      <w:r>
        <w:rPr>
          <w:rStyle w:val="VerbatimChar"/>
        </w:rPr>
        <w:t xml:space="preserve">daily_color.py</w:t>
      </w:r>
      <w:r>
        <w:t xml:space="preserve"> </w:t>
      </w:r>
      <w:r>
        <w:t xml:space="preserve">builds the note for the last color day (4:30pm → 4:30pm ET,</w:t>
      </w:r>
      <w:r>
        <w:t xml:space="preserve"> </w:t>
      </w:r>
      <w:r>
        <w:t xml:space="preserve">DST-aware): moves sized in σ vs. 30 days, token flow vs. the 20-day average,</w:t>
      </w:r>
      <w:r>
        <w:t xml:space="preserve"> </w:t>
      </w:r>
      <w:r>
        <w:t xml:space="preserve">segment buy/sell skew, options mix, and</w:t>
      </w:r>
      <w:r>
        <w:t xml:space="preserve"> </w:t>
      </w:r>
      <w:r>
        <w:t xml:space="preserve">“</w:t>
      </w:r>
      <w:r>
        <w:t xml:space="preserve">split views</w:t>
      </w:r>
      <w:r>
        <w:t xml:space="preserve">”</w:t>
      </w:r>
      <w:r>
        <w:t xml:space="preserve"> </w:t>
      </w:r>
      <w:r>
        <w:t xml:space="preserve">where segments disagree. The note is</w:t>
      </w:r>
      <w:r>
        <w:t xml:space="preserve"> </w:t>
      </w:r>
      <w:r>
        <w:rPr>
          <w:b/>
        </w:rPr>
        <w:t xml:space="preserve">client-facing</w:t>
      </w:r>
      <w:r>
        <w:t xml:space="preserve">, so it carries</w:t>
      </w:r>
      <w:r>
        <w:t xml:space="preserve"> </w:t>
      </w:r>
      <w:r>
        <w:rPr>
          <w:b/>
        </w:rPr>
        <w:t xml:space="preserve">ratios and percentages only</w:t>
      </w:r>
      <w:r>
        <w:t xml:space="preserve">: no desk dollar</w:t>
      </w:r>
      <w:r>
        <w:t xml:space="preserve"> </w:t>
      </w:r>
      <w:r>
        <w:t xml:space="preserve">volumes and no names. Every segment and strategy line passes the §12.1 rules. The</w:t>
      </w:r>
      <w:r>
        <w:t xml:space="preserve"> </w:t>
      </w:r>
      <w:r>
        <w:t xml:space="preserve">per-client version excludes that client’s own flow. The rep sheet (which clients to</w:t>
      </w:r>
      <w:r>
        <w:t xml:space="preserve"> </w:t>
      </w:r>
      <w:r>
        <w:t xml:space="preserve">send which line to) is internal.</w:t>
      </w:r>
      <w:r>
        <w:t xml:space="preserve"> </w:t>
      </w:r>
      <w:r>
        <w:rPr>
          <w:rStyle w:val="VerbatimChar"/>
        </w:rPr>
        <w:t xml:space="preserve">daily_color.run()</w:t>
      </w:r>
      <w:r>
        <w:t xml:space="preserve"> </w:t>
      </w:r>
      <w:r>
        <w:t xml:space="preserve">is a CLI entry point meant to</w:t>
      </w:r>
      <w:r>
        <w:t xml:space="preserve"> </w:t>
      </w:r>
      <w:r>
        <w:t xml:space="preserve">run as a scheduled</w:t>
      </w:r>
      <w:r>
        <w:t xml:space="preserve"> </w:t>
      </w:r>
      <w:r>
        <w:rPr>
          <w:b/>
        </w:rPr>
        <w:t xml:space="preserve">Databricks Job</w:t>
      </w:r>
      <w:r>
        <w:t xml:space="preserve"> </w:t>
      </w:r>
      <w:r>
        <w:t xml:space="preserve">at 4:30pm ET.</w:t>
      </w:r>
      <w:r>
        <w:t xml:space="preserve"> </w:t>
      </w:r>
      <w:r>
        <w:rPr>
          <w:b/>
        </w:rPr>
        <w:t xml:space="preserve">Compliance should sign off on</w:t>
      </w:r>
      <w:r>
        <w:rPr>
          <w:b/>
        </w:rPr>
        <w:t xml:space="preserve"> </w:t>
      </w:r>
      <w:r>
        <w:rPr>
          <w:b/>
        </w:rPr>
        <w:t xml:space="preserve">the note template once before it goes to clients.</w:t>
      </w:r>
    </w:p>
    <w:p>
      <w:pPr>
        <w:pStyle w:val="Heading2"/>
      </w:pPr>
      <w:bookmarkStart w:id="53" w:name="open-questions-for-engineering"/>
      <w:r>
        <w:t xml:space="preserve">17. Open questions for engineering</w:t>
      </w:r>
      <w:bookmarkEnd w:id="53"/>
    </w:p>
    <w:p>
      <w:pPr>
        <w:numPr>
          <w:ilvl w:val="0"/>
          <w:numId w:val="1011"/>
        </w:numPr>
        <w:pStyle w:val="Compact"/>
      </w:pPr>
      <w:r>
        <w:t xml:space="preserve">Does a parent↔entity mapping exist anywhere, or do we build it? Preferred source?</w:t>
      </w:r>
    </w:p>
    <w:p>
      <w:pPr>
        <w:numPr>
          <w:ilvl w:val="0"/>
          <w:numId w:val="1011"/>
        </w:numPr>
        <w:pStyle w:val="Compact"/>
      </w:pPr>
      <w:r>
        <w:t xml:space="preserve">Exact table names / Genie space handles for derivatives, options, credit, FX.</w:t>
      </w:r>
    </w:p>
    <w:p>
      <w:pPr>
        <w:numPr>
          <w:ilvl w:val="0"/>
          <w:numId w:val="1011"/>
        </w:numPr>
        <w:pStyle w:val="Compact"/>
      </w:pPr>
      <w:r>
        <w:t xml:space="preserve">Do option legs carry a parent-order / structure id we can expose as</w:t>
      </w:r>
      <w:r>
        <w:t xml:space="preserve"> </w:t>
      </w:r>
      <w:r>
        <w:rPr>
          <w:rStyle w:val="VerbatimChar"/>
        </w:rPr>
        <w:t xml:space="preserve">structure_id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Are marks, greeks, and LTV pre-computed in those tables, or do we compute them?</w:t>
      </w:r>
    </w:p>
    <w:p>
      <w:pPr>
        <w:numPr>
          <w:ilvl w:val="0"/>
          <w:numId w:val="1011"/>
        </w:numPr>
        <w:pStyle w:val="Compact"/>
      </w:pPr>
      <w:r>
        <w:t xml:space="preserve">Achievable refresh latency per product?</w:t>
      </w:r>
    </w:p>
    <w:p>
      <w:pPr>
        <w:numPr>
          <w:ilvl w:val="0"/>
          <w:numId w:val="1011"/>
        </w:numPr>
        <w:pStyle w:val="Compact"/>
      </w:pPr>
      <w:r>
        <w:t xml:space="preserve">Any fields that access control forbids surfacing even to the desk?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AI analyst:</w:t>
      </w:r>
      <w:r>
        <w:t xml:space="preserve"> </w:t>
      </w:r>
      <w:r>
        <w:t xml:space="preserve">is there an approved in-Databricks Claude/LLM endpoint we should</w:t>
      </w:r>
      <w:r>
        <w:t xml:space="preserve"> </w:t>
      </w:r>
      <w:r>
        <w:t xml:space="preserve">target (see §10), or do we gate the analyst until one exists?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Segments:</w:t>
      </w:r>
      <w:r>
        <w:t xml:space="preserve"> </w:t>
      </w:r>
      <w:r>
        <w:t xml:space="preserve">can the §12.2 segment / sub-segment fields be added to the</w:t>
      </w:r>
      <w:r>
        <w:t xml:space="preserve"> </w:t>
      </w:r>
      <w:r>
        <w:t xml:space="preserve">Salesforce Account, and who maintains them?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Telegram:</w:t>
      </w:r>
      <w:r>
        <w:t xml:space="preserve"> </w:t>
      </w:r>
      <w:r>
        <w:t xml:space="preserve">who owns the archive bot, the consent process and the</w:t>
      </w:r>
      <w:r>
        <w:t xml:space="preserve"> </w:t>
      </w:r>
      <w:r>
        <w:rPr>
          <w:rStyle w:val="VerbatimChar"/>
        </w:rPr>
        <w:t xml:space="preserve">chat_id → parent</w:t>
      </w:r>
      <w:r>
        <w:t xml:space="preserve"> </w:t>
      </w:r>
      <w:r>
        <w:t xml:space="preserve">mapping (§13)?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Notes table:</w:t>
      </w:r>
      <w:r>
        <w:t xml:space="preserve"> </w:t>
      </w:r>
      <w:r>
        <w:t xml:space="preserve">where should</w:t>
      </w:r>
      <w:r>
        <w:t xml:space="preserve"> </w:t>
      </w:r>
      <w:r>
        <w:rPr>
          <w:rStyle w:val="VerbatimChar"/>
        </w:rPr>
        <w:t xml:space="preserve">crm_notes</w:t>
      </w:r>
      <w:r>
        <w:t xml:space="preserve"> </w:t>
      </w:r>
      <w:r>
        <w:t xml:space="preserve">live, and should notes sync two-way</w:t>
      </w:r>
      <w:r>
        <w:t xml:space="preserve"> </w:t>
      </w:r>
      <w:r>
        <w:t xml:space="preserve">with Salesforce Activities (§5.13)?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Options closes:</w:t>
      </w:r>
      <w:r>
        <w:t xml:space="preserve"> </w:t>
      </w:r>
      <w:r>
        <w:t xml:space="preserve">is there an OMS close / position-netting source for the</w:t>
      </w:r>
      <w:r>
        <w:t xml:space="preserve"> </w:t>
      </w:r>
      <w:r>
        <w:t xml:space="preserve">expiries dashboard (§11)?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2026-10-07T16:57:08Z</dcterms:created>
  <dcterms:modified xsi:type="dcterms:W3CDTF">2026-10-07T16:57:08Z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