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hite-paper-client-360-dashboard"/>
      <w:r>
        <w:t xml:space="preserve">White Paper — Client 360 Dashboard</w:t>
      </w:r>
      <w:bookmarkEnd w:id="20"/>
    </w:p>
    <w:p>
      <w:pPr>
        <w:pStyle w:val="FirstParagraph"/>
      </w:pPr>
      <w:r>
        <w:rPr>
          <w:b/>
        </w:rPr>
        <w:t xml:space="preserve">Author:</w:t>
      </w:r>
      <w:r>
        <w:t xml:space="preserve"> </w:t>
      </w:r>
      <w:r>
        <w:t xml:space="preserve">David Pereira (RevOps)</w:t>
      </w:r>
      <w:r>
        <w:t xml:space="preserve"> </w:t>
      </w:r>
      <w:r>
        <w:rPr>
          <w:b/>
        </w:rPr>
        <w:t xml:space="preserve">For:</w:t>
      </w:r>
      <w:r>
        <w:t xml:space="preserve"> </w:t>
      </w:r>
      <w:r>
        <w:t xml:space="preserve">Data Engineering / Databricks platform team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2026-07-16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 for review</w:t>
      </w:r>
      <w:r>
        <w:t xml:space="preserve"> </w:t>
      </w:r>
      <w:r>
        <w:rPr>
          <w:b/>
        </w:rPr>
        <w:t xml:space="preserve">Companion:</w:t>
      </w:r>
      <w:r>
        <w:t xml:space="preserve"> </w:t>
      </w:r>
      <w:r>
        <w:t xml:space="preserve">working prototype in this folder (</w:t>
      </w:r>
      <w:r>
        <w:rPr>
          <w:rStyle w:val="VerbatimChar"/>
        </w:rPr>
        <w:t xml:space="preserve">app.py</w:t>
      </w:r>
      <w:r>
        <w:t xml:space="preserve">), runnable today on mock data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urpose"/>
      <w:r>
        <w:t xml:space="preserve">1. Purpose</w:t>
      </w:r>
      <w:bookmarkEnd w:id="21"/>
    </w:p>
    <w:p>
      <w:pPr>
        <w:pStyle w:val="FirstParagraph"/>
      </w:pPr>
      <w:r>
        <w:t xml:space="preserve">Give the IC and sales desk a</w:t>
      </w:r>
      <w:r>
        <w:t xml:space="preserve"> </w:t>
      </w:r>
      <w:r>
        <w:rPr>
          <w:b/>
        </w:rPr>
        <w:t xml:space="preserve">single client view across every product line</w:t>
      </w:r>
      <w:r>
        <w:t xml:space="preserve"> </w:t>
      </w:r>
      <w:r>
        <w:t xml:space="preserve">—</w:t>
      </w:r>
      <w:r>
        <w:t xml:space="preserve"> </w:t>
      </w:r>
      <w:r>
        <w:t xml:space="preserve">spot, derivatives, options, credit, and FX — for a client relationship and all of</w:t>
      </w:r>
      <w:r>
        <w:t xml:space="preserve"> </w:t>
      </w:r>
      <w:r>
        <w:t xml:space="preserve">its legal entities. Today this data is spread across separate product tables,</w:t>
      </w:r>
      <w:r>
        <w:t xml:space="preserve"> </w:t>
      </w:r>
      <w:r>
        <w:t xml:space="preserve">dashboards (Sigma, Midas), and the spot-only Client Brief tool. Before a call with,</w:t>
      </w:r>
      <w:r>
        <w:t xml:space="preserve"> </w:t>
      </w:r>
      <w:r>
        <w:t xml:space="preserve">say, Brevan Howard, a salesperson should open one screen and immediately see:</w:t>
      </w:r>
    </w:p>
    <w:p>
      <w:pPr>
        <w:numPr>
          <w:ilvl w:val="0"/>
          <w:numId w:val="1001"/>
        </w:numPr>
        <w:pStyle w:val="Compact"/>
      </w:pPr>
      <w:r>
        <w:t xml:space="preserve">every entity that rolls up to that client,</w:t>
      </w:r>
    </w:p>
    <w:p>
      <w:pPr>
        <w:numPr>
          <w:ilvl w:val="0"/>
          <w:numId w:val="1001"/>
        </w:numPr>
        <w:pStyle w:val="Compact"/>
      </w:pPr>
      <w:r>
        <w:t xml:space="preserve">what they’ve traded recently and in what products,</w:t>
      </w:r>
    </w:p>
    <w:p>
      <w:pPr>
        <w:numPr>
          <w:ilvl w:val="0"/>
          <w:numId w:val="1001"/>
        </w:numPr>
        <w:pStyle w:val="Compact"/>
      </w:pPr>
      <w:r>
        <w:t xml:space="preserve">current positions and risk across products,</w:t>
      </w:r>
    </w:p>
    <w:p>
      <w:pPr>
        <w:numPr>
          <w:ilvl w:val="0"/>
          <w:numId w:val="1001"/>
        </w:numPr>
        <w:pStyle w:val="Compact"/>
      </w:pPr>
      <w:r>
        <w:t xml:space="preserve">open credit facilities and their health,</w:t>
      </w:r>
    </w:p>
    <w:p>
      <w:pPr>
        <w:numPr>
          <w:ilvl w:val="0"/>
          <w:numId w:val="1001"/>
        </w:numPr>
        <w:pStyle w:val="Compact"/>
      </w:pPr>
      <w:r>
        <w:t xml:space="preserve">revenue and margin to FalconX,</w:t>
      </w:r>
    </w:p>
    <w:p>
      <w:pPr>
        <w:numPr>
          <w:ilvl w:val="0"/>
          <w:numId w:val="1001"/>
        </w:numPr>
        <w:pStyle w:val="Compact"/>
      </w:pPr>
      <w:r>
        <w:t xml:space="preserve">recent calls, next steps, and relevant news.</w:t>
      </w:r>
    </w:p>
    <w:p>
      <w:pPr>
        <w:pStyle w:val="FirstParagraph"/>
      </w:pPr>
      <w:r>
        <w:t xml:space="preserve">This document specifies the app and, critically, the</w:t>
      </w:r>
      <w:r>
        <w:t xml:space="preserve"> </w:t>
      </w:r>
      <w:r>
        <w:rPr>
          <w:b/>
        </w:rPr>
        <w:t xml:space="preserve">data contract</w:t>
      </w:r>
      <w:r>
        <w:t xml:space="preserve"> </w:t>
      </w:r>
      <w:r>
        <w:t xml:space="preserve">engineering</w:t>
      </w:r>
      <w:r>
        <w:t xml:space="preserve"> </w:t>
      </w:r>
      <w:r>
        <w:t xml:space="preserve">needs to fulfil. A runnable prototype accompanies it so requirements are concrete,</w:t>
      </w:r>
      <w:r>
        <w:t xml:space="preserve"> </w:t>
      </w:r>
      <w:r>
        <w:t xml:space="preserve">not abstract — it already renders the full UI on fabricated data.</w:t>
      </w:r>
    </w:p>
    <w:p>
      <w:pPr>
        <w:pStyle w:val="Heading2"/>
      </w:pPr>
      <w:bookmarkStart w:id="22" w:name="X9fb793706f564347d026090ff46f8bf72bb9350"/>
      <w:r>
        <w:t xml:space="preserve">2. Background &amp; workflow (from the Jul-10 review)</w:t>
      </w:r>
      <w:bookmarkEnd w:id="22"/>
    </w:p>
    <w:p>
      <w:pPr>
        <w:pStyle w:val="FirstParagraph"/>
      </w:pPr>
      <w:r>
        <w:t xml:space="preserve">The build model we agreed on:</w:t>
      </w:r>
    </w:p>
    <w:p>
      <w:pPr>
        <w:numPr>
          <w:ilvl w:val="0"/>
          <w:numId w:val="1002"/>
        </w:numPr>
        <w:pStyle w:val="Compact"/>
      </w:pPr>
      <w:r>
        <w:t xml:space="preserve">RevOps describes the desired outcomes (this document + the prototype).</w:t>
      </w:r>
    </w:p>
    <w:p>
      <w:pPr>
        <w:numPr>
          <w:ilvl w:val="0"/>
          <w:numId w:val="1002"/>
        </w:numPr>
        <w:pStyle w:val="Compact"/>
      </w:pPr>
      <w:r>
        <w:t xml:space="preserve">Engineering</w:t>
      </w:r>
      <w:r>
        <w:t xml:space="preserve"> </w:t>
      </w:r>
      <w:r>
        <w:rPr>
          <w:b/>
        </w:rPr>
        <w:t xml:space="preserve">prepares/normalizes the underlying Databricks tables</w:t>
      </w:r>
      <w:r>
        <w:t xml:space="preserve"> </w:t>
      </w:r>
      <w:r>
        <w:t xml:space="preserve">— raw</w:t>
      </w:r>
      <w:r>
        <w:t xml:space="preserve"> </w:t>
      </w:r>
      <w:r>
        <w:t xml:space="preserve">product data is messy and needs filtering and a common shape.</w:t>
      </w:r>
    </w:p>
    <w:p>
      <w:pPr>
        <w:numPr>
          <w:ilvl w:val="0"/>
          <w:numId w:val="1002"/>
        </w:numPr>
        <w:pStyle w:val="Compact"/>
      </w:pPr>
      <w:r>
        <w:t xml:space="preserve">The app is a</w:t>
      </w:r>
      <w:r>
        <w:t xml:space="preserve"> </w:t>
      </w:r>
      <w:r>
        <w:rPr>
          <w:b/>
        </w:rPr>
        <w:t xml:space="preserve">folder of code</w:t>
      </w:r>
      <w:r>
        <w:t xml:space="preserve"> </w:t>
      </w:r>
      <w:r>
        <w:t xml:space="preserve">(Streamlit, like Aayushi’s app) that is moved</w:t>
      </w:r>
      <w:r>
        <w:t xml:space="preserve"> </w:t>
      </w:r>
      <w:r>
        <w:t xml:space="preserve">into the Databricks-accessible GitHub location and executed as a Databricks App.</w:t>
      </w:r>
    </w:p>
    <w:p>
      <w:pPr>
        <w:numPr>
          <w:ilvl w:val="0"/>
          <w:numId w:val="1002"/>
        </w:numPr>
        <w:pStyle w:val="Compact"/>
      </w:pPr>
      <w:r>
        <w:t xml:space="preserve">Data access happens through a thin seam so the UI and the queries evolve</w:t>
      </w:r>
      <w:r>
        <w:t xml:space="preserve"> </w:t>
      </w:r>
      <w:r>
        <w:t xml:space="preserve">independently.</w:t>
      </w:r>
    </w:p>
    <w:p>
      <w:pPr>
        <w:pStyle w:val="FirstParagraph"/>
      </w:pPr>
      <w:r>
        <w:t xml:space="preserve">This mirrors the arrangement where the platform team preps tables and the app owner</w:t>
      </w:r>
      <w:r>
        <w:t xml:space="preserve"> </w:t>
      </w:r>
      <w:r>
        <w:t xml:space="preserve">manages app logic.</w:t>
      </w:r>
    </w:p>
    <w:p>
      <w:pPr>
        <w:pStyle w:val="Heading2"/>
      </w:pPr>
      <w:bookmarkStart w:id="23" w:name="constraints-non-negotiable"/>
      <w:r>
        <w:t xml:space="preserve">3. Constraints (non-negotiable)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All data stays inside Databricks.</w:t>
      </w:r>
      <w:r>
        <w:t xml:space="preserve"> </w:t>
      </w:r>
      <w:r>
        <w:t xml:space="preserve">No client data — especially client names —</w:t>
      </w:r>
      <w:r>
        <w:t xml:space="preserve"> </w:t>
      </w:r>
      <w:r>
        <w:t xml:space="preserve">leaves the environment. No external cloud compute, no copying to a laptop, no</w:t>
      </w:r>
      <w:r>
        <w:t xml:space="preserve"> </w:t>
      </w:r>
      <w:r>
        <w:t xml:space="preserve">third-party SaaS. The app runs as a Databricks App against the SQL warehouse /</w:t>
      </w:r>
      <w:r>
        <w:t xml:space="preserve"> </w:t>
      </w:r>
      <w:r>
        <w:t xml:space="preserve">Genie tables.</w:t>
      </w:r>
      <w:r>
        <w:t xml:space="preserve"> </w:t>
      </w:r>
      <w:r>
        <w:rPr>
          <w:i/>
        </w:rPr>
        <w:t xml:space="preserve">(The one exception is public market-news RSS, which contains no</w:t>
      </w:r>
      <w:r>
        <w:rPr>
          <w:i/>
        </w:rPr>
        <w:t xml:space="preserve"> </w:t>
      </w:r>
      <w:r>
        <w:rPr>
          <w:i/>
        </w:rPr>
        <w:t xml:space="preserve">client data.)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Access control</w:t>
      </w:r>
      <w:r>
        <w:t xml:space="preserve"> </w:t>
      </w:r>
      <w:r>
        <w:t xml:space="preserve">follows existing Databricks entitlements; the app inherits the</w:t>
      </w:r>
      <w:r>
        <w:t xml:space="preserve"> </w:t>
      </w:r>
      <w:r>
        <w:t xml:space="preserve">viewer’s permissions. Row/column controls on sensitive fields stay enforced at the</w:t>
      </w:r>
      <w:r>
        <w:t xml:space="preserve"> </w:t>
      </w:r>
      <w:r>
        <w:t xml:space="preserve">warehouse, not in app code.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Security tags</w:t>
      </w:r>
      <w:r>
        <w:t xml:space="preserve"> </w:t>
      </w:r>
      <w:r>
        <w:t xml:space="preserve">on the underlying tables currently reset daily (known issue on</w:t>
      </w:r>
      <w:r>
        <w:t xml:space="preserve"> </w:t>
      </w:r>
      <w:r>
        <w:t xml:space="preserve">the platform side). Whatever table-prep the app depends on must survive that reset</w:t>
      </w:r>
      <w:r>
        <w:t xml:space="preserve"> </w:t>
      </w:r>
      <w:r>
        <w:t xml:space="preserve">or be re-applied by the pipeline.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The AI analyst is the one feature that needs a compliance decision</w:t>
      </w:r>
      <w:r>
        <w:t xml:space="preserve"> </w:t>
      </w:r>
      <w:r>
        <w:t xml:space="preserve">— see §11.</w:t>
      </w:r>
      <w:r>
        <w:t xml:space="preserve"> </w:t>
      </w:r>
      <w:r>
        <w:t xml:space="preserve">In the prototype it calls the Anthropic API directly (fine: mock data, no real</w:t>
      </w:r>
      <w:r>
        <w:t xml:space="preserve"> </w:t>
      </w:r>
      <w:r>
        <w:t xml:space="preserve">client names). In production it must run through an in-environment model (Databricks</w:t>
      </w:r>
      <w:r>
        <w:t xml:space="preserve"> </w:t>
      </w:r>
      <w:r>
        <w:t xml:space="preserve">model serving / an approved Claude endpoint) so no client data leaves Databricks.</w:t>
      </w:r>
    </w:p>
    <w:p>
      <w:pPr>
        <w:pStyle w:val="Heading2"/>
      </w:pPr>
      <w:bookmarkStart w:id="24" w:name="what-the-app-shows"/>
      <w:r>
        <w:t xml:space="preserve">4. What the app shows</w:t>
      </w:r>
      <w:bookmarkEnd w:id="24"/>
    </w:p>
    <w:p>
      <w:pPr>
        <w:pStyle w:val="FirstParagraph"/>
      </w:pPr>
      <w:r>
        <w:t xml:space="preserve">The prototype implements all of the below. Layout: a client selector + a</w:t>
      </w:r>
      <w:r>
        <w:t xml:space="preserve"> </w:t>
      </w:r>
      <w:r>
        <w:t xml:space="preserve">per-entity focus filter, flexible date controls (quick lookback in days/weeks/</w:t>
      </w:r>
      <w:r>
        <w:t xml:space="preserve"> </w:t>
      </w:r>
      <w:r>
        <w:t xml:space="preserve">months/</w:t>
      </w:r>
      <w:r>
        <w:rPr>
          <w:b/>
        </w:rPr>
        <w:t xml:space="preserve">years</w:t>
      </w:r>
      <w:r>
        <w:t xml:space="preserve">, or a</w:t>
      </w:r>
      <w:r>
        <w:t xml:space="preserve"> </w:t>
      </w:r>
      <w:r>
        <w:rPr>
          <w:b/>
        </w:rPr>
        <w:t xml:space="preserve">custom start/end range</w:t>
      </w:r>
      <w:r>
        <w:t xml:space="preserve">), a cross-product KPI bar, then</w:t>
      </w:r>
      <w:r>
        <w:t xml:space="preserve"> </w:t>
      </w:r>
      <w:r>
        <w:t xml:space="preserve">seven tabs.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Backing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Header</w:t>
            </w:r>
          </w:p>
        </w:tc>
        <w:tc>
          <w:p>
            <w:pPr>
              <w:pStyle w:val="Compact"/>
              <w:jc w:val="left"/>
            </w:pPr>
            <w:r>
              <w:t xml:space="preserve">Parent name, tier, coverage, client-since, entity chips, product-coverage matrix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get_entities</w:t>
            </w:r>
            <w:r>
              <w:t xml:space="preserve">, derived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KPI bar</w:t>
            </w:r>
          </w:p>
        </w:tc>
        <w:tc>
          <w:p>
            <w:pPr>
              <w:pStyle w:val="Compact"/>
              <w:jc w:val="left"/>
            </w:pPr>
            <w:r>
              <w:t xml:space="preserve">Notional traded, revenue to FX, blended bps, open-position value, unrealized P&amp;L, credit drawn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overview_kpis</w:t>
            </w:r>
            <w:r>
              <w:t xml:space="preserve"> </w:t>
            </w:r>
            <w:r>
              <w:t xml:space="preserve">(derived)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Overview</w:t>
            </w:r>
          </w:p>
        </w:tc>
        <w:tc>
          <w:p>
            <w:pPr>
              <w:pStyle w:val="Compact"/>
              <w:jc w:val="left"/>
            </w:pPr>
            <w:r>
              <w:t xml:space="preserve">Revenue by product, notional over time (stacked), product-activity table, net token flow,</w:t>
            </w:r>
            <w:r>
              <w:t xml:space="preserve"> </w:t>
            </w:r>
            <w:r>
              <w:rPr>
                <w:b/>
              </w:rPr>
              <w:t xml:space="preserve">client-vs-desk positioning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product_activity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volume_timeseries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get_desk_benchmark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Positions &amp; Risk</w:t>
            </w:r>
          </w:p>
        </w:tc>
        <w:tc>
          <w:p>
            <w:pPr>
              <w:pStyle w:val="Compact"/>
              <w:jc w:val="left"/>
            </w:pPr>
            <w:r>
              <w:t xml:space="preserve">Gross/long/short exposure, exposure by product, net exposure by token, full position detail (incl. funding, delta, vega)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get_positions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Multi-leg structure detection</w:t>
            </w:r>
            <w:r>
              <w:t xml:space="preserve"> </w:t>
            </w:r>
            <w:r>
              <w:t xml:space="preserve">— legs grouped by order and classified (bull/bear vertical spreads, straddle, strangle, risk reversal, butterfly, iron condor, calendar, covered call); strategy mix, directional-bias breakdown, per-structure leg detail, entity + strategy filters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get_trades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option_structures</w:t>
            </w:r>
            <w:r>
              <w:t xml:space="preserve"> </w:t>
            </w:r>
            <w:r>
              <w:t xml:space="preserve">(derived)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Trades</w:t>
            </w:r>
          </w:p>
        </w:tc>
        <w:tc>
          <w:p>
            <w:pPr>
              <w:pStyle w:val="Compact"/>
              <w:jc w:val="left"/>
            </w:pPr>
            <w:r>
              <w:t xml:space="preserve">Filterable unified blotter (product / side / token), size distribution, avg bps by product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get_trades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Credit</w:t>
            </w:r>
          </w:p>
        </w:tc>
        <w:tc>
          <w:p>
            <w:pPr>
              <w:pStyle w:val="Compact"/>
              <w:jc w:val="left"/>
            </w:pPr>
            <w:r>
              <w:t xml:space="preserve">Facilities, principal/drawn/collateral, LTV, rate, maturity, margin-health status, near-term alerts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get_credit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Relationship</w:t>
            </w:r>
          </w:p>
        </w:tc>
        <w:tc>
          <w:p>
            <w:pPr>
              <w:pStyle w:val="Compact"/>
              <w:jc w:val="left"/>
            </w:pPr>
            <w:r>
              <w:t xml:space="preserve">Auto meeting brief, Gong call history,</w:t>
            </w:r>
            <w:r>
              <w:t xml:space="preserve"> </w:t>
            </w:r>
            <w:r>
              <w:rPr>
                <w:b/>
              </w:rPr>
              <w:t xml:space="preserve">live token news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get_gong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get_news</w:t>
            </w:r>
            <w:r>
              <w:t xml:space="preserve">, derived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Analyst ✨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Opus 4.8</w:t>
            </w:r>
            <w:r>
              <w:t xml:space="preserve">: one-click activity summary for the period + live chat, grounded in everything on the page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llm.py</w:t>
            </w:r>
            <w:r>
              <w:t xml:space="preserve"> </w:t>
            </w:r>
            <w:r>
              <w:t xml:space="preserve">over the derived context</w:t>
            </w:r>
          </w:p>
        </w:tc>
      </w:tr>
    </w:tbl>
    <w:p>
      <w:pPr>
        <w:pStyle w:val="Heading2"/>
      </w:pPr>
      <w:bookmarkStart w:id="25" w:name="the-data-contract"/>
      <w:r>
        <w:t xml:space="preserve">5. The data contract</w:t>
      </w:r>
      <w:bookmarkEnd w:id="25"/>
    </w:p>
    <w:p>
      <w:pPr>
        <w:pStyle w:val="FirstParagraph"/>
      </w:pPr>
      <w:r>
        <w:t xml:space="preserve">The app talks to data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through the functions in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. Each is a seam:</w:t>
      </w:r>
      <w:r>
        <w:t xml:space="preserve"> </w:t>
      </w:r>
      <w:r>
        <w:t xml:space="preserve">today it returns mock data; going live means replacing the body with a Databricks</w:t>
      </w:r>
      <w:r>
        <w:t xml:space="preserve"> </w:t>
      </w:r>
      <w:r>
        <w:t xml:space="preserve">query that returns</w:t>
      </w:r>
      <w:r>
        <w:t xml:space="preserve"> </w:t>
      </w:r>
      <w:r>
        <w:rPr>
          <w:b/>
        </w:rPr>
        <w:t xml:space="preserve">the documented columns and dtypes</w:t>
      </w:r>
      <w:r>
        <w:t xml:space="preserve">. The UI does not change.</w:t>
      </w:r>
    </w:p>
    <w:p>
      <w:pPr>
        <w:pStyle w:val="BodyText"/>
      </w:pPr>
      <w:r>
        <w:t xml:space="preserve">Functions marked</w:t>
      </w:r>
      <w:r>
        <w:t xml:space="preserve"> </w:t>
      </w:r>
      <w:r>
        <w:rPr>
          <w:b/>
        </w:rPr>
        <w:t xml:space="preserve">[DERIVED]</w:t>
      </w:r>
      <w:r>
        <w:t xml:space="preserve"> </w:t>
      </w:r>
      <w:r>
        <w:t xml:space="preserve">are pure pandas on top of the others —</w:t>
      </w:r>
      <w:r>
        <w:t xml:space="preserve"> </w:t>
      </w:r>
      <w:r>
        <w:rPr>
          <w:b/>
        </w:rPr>
        <w:t xml:space="preserve">no query</w:t>
      </w:r>
      <w:r>
        <w:rPr>
          <w:b/>
        </w:rPr>
        <w:t xml:space="preserve"> </w:t>
      </w:r>
      <w:r>
        <w:rPr>
          <w:b/>
        </w:rPr>
        <w:t xml:space="preserve">needed</w:t>
      </w:r>
      <w:r>
        <w:t xml:space="preserve"> </w:t>
      </w:r>
      <w:r>
        <w:t xml:space="preserve">(that includes options structure detection and the desk comparison).</w:t>
      </w:r>
      <w:r>
        <w:t xml:space="preserve"> </w:t>
      </w:r>
      <w:r>
        <w:t xml:space="preserve">Engineering implements the seven base functions below.</w:t>
      </w:r>
    </w:p>
    <w:p>
      <w:pPr>
        <w:pStyle w:val="Heading3"/>
      </w:pPr>
      <w:bookmarkStart w:id="26" w:name="search_parents---liststr"/>
      <w:r>
        <w:t xml:space="preserve">5.1</w:t>
      </w:r>
      <w:r>
        <w:t xml:space="preserve"> </w:t>
      </w:r>
      <w:r>
        <w:rPr>
          <w:rStyle w:val="VerbatimChar"/>
        </w:rPr>
        <w:t xml:space="preserve">search_parents() -&gt; list[str]</w:t>
      </w:r>
      <w:bookmarkEnd w:id="26"/>
    </w:p>
    <w:p>
      <w:pPr>
        <w:pStyle w:val="FirstParagraph"/>
      </w:pPr>
      <w:r>
        <w:t xml:space="preserve">Distinct top-level client relationships for the picker.</w:t>
      </w:r>
    </w:p>
    <w:p>
      <w:pPr>
        <w:pStyle w:val="Heading3"/>
      </w:pPr>
      <w:bookmarkStart w:id="27" w:name="get_entitiesparent---dataframe"/>
      <w:r>
        <w:t xml:space="preserve">5.2</w:t>
      </w:r>
      <w:r>
        <w:t xml:space="preserve"> </w:t>
      </w:r>
      <w:r>
        <w:rPr>
          <w:rStyle w:val="VerbatimChar"/>
        </w:rPr>
        <w:t xml:space="preserve">get_entities(parent) -&gt; DataFrame</w:t>
      </w:r>
      <w:bookmarkEnd w:id="27"/>
    </w:p>
    <w:p>
      <w:pPr>
        <w:pStyle w:val="FirstParagraph"/>
      </w:pPr>
      <w:r>
        <w:t xml:space="preserve">Every legal entity under a parent.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entity_id, entity_name, parent_name, entity_type, status, onboarded</w:t>
      </w:r>
      <w:r>
        <w:t xml:space="preserve">.</w:t>
      </w:r>
    </w:p>
    <w:p>
      <w:pPr>
        <w:pStyle w:val="Heading3"/>
      </w:pPr>
      <w:bookmarkStart w:id="28" w:name="Xc20039a77e67acb6f09ef7461bf27e1cc8a1bc5"/>
      <w:r>
        <w:t xml:space="preserve">5.3</w:t>
      </w:r>
      <w:r>
        <w:t xml:space="preserve"> </w:t>
      </w:r>
      <w:r>
        <w:rPr>
          <w:rStyle w:val="VerbatimChar"/>
        </w:rPr>
        <w:t xml:space="preserve">get_trades(parent, start, end) -&gt; DataFrame</w:t>
      </w:r>
      <w:r>
        <w:t xml:space="preserve"> </w:t>
      </w:r>
      <w:r>
        <w:t xml:space="preserve">← core fact table</w:t>
      </w:r>
      <w:bookmarkEnd w:id="28"/>
    </w:p>
    <w:p>
      <w:pPr>
        <w:pStyle w:val="FirstParagraph"/>
      </w:pPr>
      <w:r>
        <w:t xml:space="preserve">One row per executed trade across</w:t>
      </w:r>
      <w:r>
        <w:t xml:space="preserve"> </w:t>
      </w:r>
      <w:r>
        <w:rPr>
          <w:b/>
        </w:rPr>
        <w:t xml:space="preserve">all</w:t>
      </w:r>
      <w:r>
        <w:t xml:space="preserve"> </w:t>
      </w:r>
      <w:r>
        <w:t xml:space="preserve">products, all entities, with</w:t>
      </w:r>
      <w:r>
        <w:t xml:space="preserve"> </w:t>
      </w:r>
      <w:r>
        <w:rPr>
          <w:rStyle w:val="VerbatimChar"/>
        </w:rPr>
        <w:t xml:space="preserve">trade_time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(ISO dates). Date-range args support the years lookback</w:t>
      </w:r>
      <w:r>
        <w:t xml:space="preserve"> </w:t>
      </w:r>
      <w:r>
        <w:t xml:space="preserve">and custom range.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trade_time, entity_id, entity_name, product, instrument, token, side, notional_usd, price, bps, revenue_usd, venue, qty, structure_id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product ∈ {Spot, Derivatives, Options, Credit, FX}</w:t>
      </w:r>
      <w:r>
        <w:t xml:space="preserve">;</w:t>
      </w:r>
      <w:r>
        <w:t xml:space="preserve"> </w:t>
      </w:r>
      <w:r>
        <w:rPr>
          <w:rStyle w:val="VerbatimChar"/>
        </w:rPr>
        <w:t xml:space="preserve">side ∈ {Buy, Sell}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— execution price;</w:t>
      </w:r>
      <w:r>
        <w:t xml:space="preserve"> </w:t>
      </w:r>
      <w:r>
        <w:rPr>
          <w:b/>
        </w:rPr>
        <w:t xml:space="preserve">option premium per contract</w:t>
      </w:r>
      <w:r>
        <w:t xml:space="preserve"> </w:t>
      </w:r>
      <w:r>
        <w:t xml:space="preserve">for option legs.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— contracts / units.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structure_id</w:t>
      </w:r>
      <w:r>
        <w:t xml:space="preserve"> </w:t>
      </w:r>
      <w:r>
        <w:t xml:space="preserve">— parent order id that links the legs of one multi-leg options</w:t>
      </w:r>
      <w:r>
        <w:t xml:space="preserve"> </w:t>
      </w:r>
      <w:r>
        <w:t xml:space="preserve">structure. This is what powers strategy detection (condor vs. put spread vs. …).</w:t>
      </w:r>
      <w:r>
        <w:t xml:space="preserve"> </w:t>
      </w:r>
      <w:r>
        <w:t xml:space="preserve">Null for single-instrument trades. If the OMS has no such id, the detector falls</w:t>
      </w:r>
      <w:r>
        <w:t xml:space="preserve"> </w:t>
      </w:r>
      <w:r>
        <w:t xml:space="preserve">back to clustering by entity + underlying + timestamp, but</w:t>
      </w:r>
      <w:r>
        <w:t xml:space="preserve"> </w:t>
      </w:r>
      <w:r>
        <w:rPr>
          <w:b/>
        </w:rPr>
        <w:t xml:space="preserve">supplying it is</w:t>
      </w:r>
      <w:r>
        <w:rPr>
          <w:b/>
        </w:rPr>
        <w:t xml:space="preserve"> </w:t>
      </w:r>
      <w:r>
        <w:rPr>
          <w:b/>
        </w:rPr>
        <w:t xml:space="preserve">strongly preferred</w:t>
      </w:r>
      <w:r>
        <w:t xml:space="preserve"> </w:t>
      </w:r>
      <w:r>
        <w:t xml:space="preserve">for accuracy.</w:t>
      </w:r>
      <w:r>
        <w:t xml:space="preserve"> </w:t>
      </w:r>
      <w:r>
        <w:t xml:space="preserve">- Option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format:</w:t>
      </w:r>
      <w:r>
        <w:t xml:space="preserve"> </w:t>
      </w:r>
      <w:r>
        <w:rPr>
          <w:rStyle w:val="VerbatimChar"/>
        </w:rPr>
        <w:t xml:space="preserve">TOKEN-DDMMMYY-STRIKE-{C|P}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BTC-29AUG26-95000-C</w:t>
      </w:r>
      <w:r>
        <w:t xml:space="preserve">).</w:t>
      </w:r>
    </w:p>
    <w:p>
      <w:pPr>
        <w:pStyle w:val="Heading3"/>
      </w:pPr>
      <w:bookmarkStart w:id="29" w:name="get_positionsparent---dataframe"/>
      <w:r>
        <w:t xml:space="preserve">5.4</w:t>
      </w:r>
      <w:r>
        <w:t xml:space="preserve"> </w:t>
      </w:r>
      <w:r>
        <w:rPr>
          <w:rStyle w:val="VerbatimChar"/>
        </w:rPr>
        <w:t xml:space="preserve">get_positions(parent) -&gt; DataFrame</w:t>
      </w:r>
      <w:bookmarkEnd w:id="29"/>
    </w:p>
    <w:p>
      <w:pPr>
        <w:pStyle w:val="FirstParagraph"/>
      </w:pPr>
      <w:r>
        <w:t xml:space="preserve">Current open positions across spot / derivatives / options.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product, instrument, token, direction, qty, avg_price, mark_price, notional_usd, unrealized_pnl, funding_8h_bps, delta, vega_usd</w:t>
      </w:r>
      <w:r>
        <w:t xml:space="preserve"> </w:t>
      </w:r>
      <w:r>
        <w:t xml:space="preserve">(last three null except where the product supplies them).</w:t>
      </w:r>
    </w:p>
    <w:p>
      <w:pPr>
        <w:pStyle w:val="Heading3"/>
      </w:pPr>
      <w:bookmarkStart w:id="30" w:name="get_creditparent---dataframe"/>
      <w:r>
        <w:t xml:space="preserve">5.5</w:t>
      </w:r>
      <w:r>
        <w:t xml:space="preserve"> </w:t>
      </w:r>
      <w:r>
        <w:rPr>
          <w:rStyle w:val="VerbatimChar"/>
        </w:rPr>
        <w:t xml:space="preserve">get_credit(parent) -&gt; DataFrame</w:t>
      </w:r>
      <w:bookmarkEnd w:id="30"/>
    </w:p>
    <w:p>
      <w:pPr>
        <w:pStyle w:val="FirstParagraph"/>
      </w:pPr>
      <w:r>
        <w:t xml:space="preserve">Open credit facilities.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deal_id, entity_name, facility_type, collateral_token, principal_usd, drawn_usd, collateral_usd, ltv_pct, rate_bps, start, maturity, days_to_maturity, status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 ∈ {good, warning, serious, critical}</w:t>
      </w:r>
      <w:r>
        <w:t xml:space="preserve"> </w:t>
      </w:r>
      <w:r>
        <w:t xml:space="preserve">(can be computed from LTV +</w:t>
      </w:r>
      <w:r>
        <w:t xml:space="preserve"> </w:t>
      </w:r>
      <w:r>
        <w:t xml:space="preserve">days-to-maturity, or supplied by the credit desk table).</w:t>
      </w:r>
    </w:p>
    <w:p>
      <w:pPr>
        <w:pStyle w:val="Heading3"/>
      </w:pPr>
      <w:bookmarkStart w:id="31" w:name="get_gongparent-start-end---dataframe"/>
      <w:r>
        <w:t xml:space="preserve">5.6</w:t>
      </w:r>
      <w:r>
        <w:t xml:space="preserve"> </w:t>
      </w:r>
      <w:r>
        <w:rPr>
          <w:rStyle w:val="VerbatimChar"/>
        </w:rPr>
        <w:t xml:space="preserve">get_gong(parent, start, end) -&gt; DataFrame</w:t>
      </w:r>
      <w:bookmarkEnd w:id="31"/>
    </w:p>
    <w:p>
      <w:pPr>
        <w:pStyle w:val="FirstParagraph"/>
      </w:pPr>
      <w:r>
        <w:t xml:space="preserve">Reuses the existing, working query in</w:t>
      </w:r>
      <w:r>
        <w:t xml:space="preserve"> </w:t>
      </w:r>
      <w:r>
        <w:rPr>
          <w:rStyle w:val="VerbatimChar"/>
        </w:rPr>
        <w:t xml:space="preserve">client-brief/app.py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main.salesforce.gong_gong_call_c</w:t>
      </w:r>
      <w:r>
        <w:t xml:space="preserve">.</w:t>
      </w:r>
    </w:p>
    <w:p>
      <w:pPr>
        <w:pStyle w:val="Heading3"/>
      </w:pPr>
      <w:bookmarkStart w:id="32" w:name="Xb8128fb6f473580498c85729b30896638d5b175"/>
      <w:r>
        <w:t xml:space="preserve">5.7</w:t>
      </w:r>
      <w:r>
        <w:t xml:space="preserve"> </w:t>
      </w:r>
      <w:r>
        <w:rPr>
          <w:rStyle w:val="VerbatimChar"/>
        </w:rPr>
        <w:t xml:space="preserve">get_desk_benchmark(tokens, start, end) -&gt; DataFrame</w:t>
      </w:r>
      <w:bookmarkEnd w:id="32"/>
    </w:p>
    <w:p>
      <w:pPr>
        <w:pStyle w:val="FirstParagraph"/>
      </w:pPr>
      <w:r>
        <w:t xml:space="preserve">Desk-wide net flow per token across</w:t>
      </w:r>
      <w:r>
        <w:t xml:space="preserve"> </w:t>
      </w:r>
      <w:r>
        <w:rPr>
          <w:b/>
        </w:rPr>
        <w:t xml:space="preserve">all</w:t>
      </w:r>
      <w:r>
        <w:t xml:space="preserve"> </w:t>
      </w:r>
      <w:r>
        <w:t xml:space="preserve">clients in the window — the baseline</w:t>
      </w:r>
      <w:r>
        <w:t xml:space="preserve"> </w:t>
      </w:r>
      <w:r>
        <w:t xml:space="preserve">the Overview tab compares one client against. Aggregate over all counterparties;</w:t>
      </w:r>
      <w:r>
        <w:t xml:space="preserve"> </w:t>
      </w:r>
      <w:r>
        <w:rPr>
          <w:b/>
        </w:rPr>
        <w:t xml:space="preserve">return only aggregates, never client names</w:t>
      </w:r>
      <w:r>
        <w:t xml:space="preserve"> </w:t>
      </w:r>
      <w:r>
        <w:t xml:space="preserve">(privacy-safe by construction).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token, desk_buy_usd, desk_sell_usd, desk_net_usd, num_clients</w:t>
      </w:r>
      <w:r>
        <w:t xml:space="preserve">.</w:t>
      </w:r>
    </w:p>
    <w:p>
      <w:pPr>
        <w:pStyle w:val="Heading3"/>
      </w:pPr>
      <w:bookmarkStart w:id="33" w:name="get_newstokens---listdict"/>
      <w:r>
        <w:t xml:space="preserve">5.8</w:t>
      </w:r>
      <w:r>
        <w:t xml:space="preserve"> </w:t>
      </w:r>
      <w:r>
        <w:rPr>
          <w:rStyle w:val="VerbatimChar"/>
        </w:rPr>
        <w:t xml:space="preserve">get_news(tokens) -&gt; list[dict]</w:t>
      </w:r>
      <w:bookmarkEnd w:id="33"/>
    </w:p>
    <w:p>
      <w:pPr>
        <w:pStyle w:val="FirstParagraph"/>
      </w:pPr>
      <w:r>
        <w:t xml:space="preserve">Public crypto RSS, filtered to the client’s tokens (with ticker→name synonyms),</w:t>
      </w:r>
      <w:r>
        <w:t xml:space="preserve"> </w:t>
      </w:r>
      <w:r>
        <w:t xml:space="preserve">deduped, newest-first, cached 15 min. Only call permitted to reach outside</w:t>
      </w:r>
      <w:r>
        <w:t xml:space="preserve"> </w:t>
      </w:r>
      <w:r>
        <w:t xml:space="preserve">Databricks — contains</w:t>
      </w:r>
      <w:r>
        <w:t xml:space="preserve"> </w:t>
      </w:r>
      <w:r>
        <w:rPr>
          <w:b/>
        </w:rPr>
        <w:t xml:space="preserve">no client data</w:t>
      </w:r>
      <w:r>
        <w:t xml:space="preserve">.</w:t>
      </w:r>
    </w:p>
    <w:p>
      <w:pPr>
        <w:pStyle w:val="Heading2"/>
      </w:pPr>
      <w:bookmarkStart w:id="34" w:name="critical-dependency-entity-resolution"/>
      <w:r>
        <w:t xml:space="preserve">6. Critical dependency — entity resolution</w:t>
      </w:r>
      <w:bookmarkEnd w:id="34"/>
    </w:p>
    <w:p>
      <w:pPr>
        <w:pStyle w:val="FirstParagraph"/>
      </w:pPr>
      <w:r>
        <w:rPr>
          <w:b/>
        </w:rPr>
        <w:t xml:space="preserve">This is the single biggest ask and the main thing that does not exist today.</w:t>
      </w:r>
    </w:p>
    <w:p>
      <w:pPr>
        <w:pStyle w:val="BodyText"/>
      </w:pPr>
      <w:r>
        <w:t xml:space="preserve">The spot table (</w:t>
      </w:r>
      <w:r>
        <w:rPr>
          <w:rStyle w:val="VerbatimChar"/>
        </w:rPr>
        <w:t xml:space="preserve">main.otc_analytics.trade_log</w:t>
      </w:r>
      <w:r>
        <w:t xml:space="preserve">) keys on</w:t>
      </w:r>
      <w:r>
        <w:t xml:space="preserve"> </w:t>
      </w:r>
      <w:r>
        <w:rPr>
          <w:rStyle w:val="VerbatimChar"/>
        </w:rPr>
        <w:t xml:space="preserve">counterparty</w:t>
      </w:r>
      <w:r>
        <w:t xml:space="preserve">, a free-text</w:t>
      </w:r>
      <w:r>
        <w:t xml:space="preserve"> </w:t>
      </w:r>
      <w:r>
        <w:t xml:space="preserve">name with many spellings and no notion of a parent client or its sub-entities. The</w:t>
      </w:r>
      <w:r>
        <w:t xml:space="preserve"> </w:t>
      </w:r>
      <w:r>
        <w:t xml:space="preserve">whole value of Client 360 is rolling</w:t>
      </w:r>
      <w:r>
        <w:t xml:space="preserve"> </w:t>
      </w:r>
      <w:r>
        <w:rPr>
          <w:b/>
        </w:rPr>
        <w:t xml:space="preserve">BH Digital LP</w:t>
      </w:r>
      <w:r>
        <w:t xml:space="preserve">,</w:t>
      </w:r>
      <w:r>
        <w:t xml:space="preserve"> </w:t>
      </w:r>
      <w:r>
        <w:rPr>
          <w:b/>
        </w:rPr>
        <w:t xml:space="preserve">Brevan Howard Master Fund</w:t>
      </w:r>
      <w:r>
        <w:rPr>
          <w:b/>
        </w:rPr>
        <w:t xml:space="preserve"> </w:t>
      </w:r>
      <w:r>
        <w:rPr>
          <w:b/>
        </w:rPr>
        <w:t xml:space="preserve">Ltd</w:t>
      </w:r>
      <w:r>
        <w:t xml:space="preserve">, etc. up to one</w:t>
      </w:r>
      <w:r>
        <w:t xml:space="preserve"> </w:t>
      </w:r>
      <w:r>
        <w:rPr>
          <w:b/>
        </w:rPr>
        <w:t xml:space="preserve">Brevan Howard</w:t>
      </w:r>
      <w:r>
        <w:t xml:space="preserve"> </w:t>
      </w:r>
      <w:r>
        <w:t xml:space="preserve">relationship.</w:t>
      </w:r>
    </w:p>
    <w:p>
      <w:pPr>
        <w:pStyle w:val="BodyText"/>
      </w:pPr>
      <w:r>
        <w:t xml:space="preserve">We need a maintained mapping table, ideally sourced from onboarding/KYC:</w:t>
      </w:r>
    </w:p>
    <w:p>
      <w:pPr>
        <w:pStyle w:val="SourceCode"/>
      </w:pPr>
      <w:r>
        <w:rPr>
          <w:rStyle w:val="VerbatimChar"/>
        </w:rPr>
        <w:t xml:space="preserve">parent_name  →  entity_id  →  { entity_name, entity_type, onboarded, status }</w:t>
      </w:r>
    </w:p>
    <w:p>
      <w:pPr>
        <w:pStyle w:val="FirstParagraph"/>
      </w:pPr>
      <w:r>
        <w:t xml:space="preserve">plus a reconciliation from each product table’s counterparty identifier to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. Everything else composes cleanly once this exists.</w:t>
      </w:r>
    </w:p>
    <w:p>
      <w:pPr>
        <w:pStyle w:val="Heading2"/>
      </w:pPr>
      <w:bookmarkStart w:id="35" w:name="source-tables-to-normalize"/>
      <w:r>
        <w:t xml:space="preserve">7. Source tables to normalize</w:t>
      </w:r>
      <w:bookmarkEnd w:id="35"/>
    </w:p>
    <w:p>
      <w:pPr>
        <w:pStyle w:val="FirstParagraph"/>
      </w:pPr>
      <w:r>
        <w:t xml:space="preserve">The app expects one</w:t>
      </w:r>
      <w:r>
        <w:t xml:space="preserve"> </w:t>
      </w:r>
      <w:r>
        <w:rPr>
          <w:b/>
        </w:rPr>
        <w:t xml:space="preserve">unified, cleaned</w:t>
      </w:r>
      <w:r>
        <w:t xml:space="preserve"> </w:t>
      </w:r>
      <w:r>
        <w:t xml:space="preserve">trade shape and one position shape. From the</w:t>
      </w:r>
      <w:r>
        <w:t xml:space="preserve"> </w:t>
      </w:r>
      <w:r>
        <w:t xml:space="preserve">review, the cleaned product data lives in the Genie spaces. Engineering maps each</w:t>
      </w:r>
      <w:r>
        <w:t xml:space="preserve"> </w:t>
      </w:r>
      <w:r>
        <w:t xml:space="preserve">source into the common schema (§5.3 / §5.4):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(confirm exact names)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main.otc_analytics.trade_log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trade_type='order'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pnl_usd</w:t>
            </w:r>
            <w:r>
              <w:t xml:space="preserve"> </w:t>
            </w:r>
            <w:r>
              <w:t xml:space="preserve">not null)</w:t>
            </w:r>
          </w:p>
        </w:tc>
        <w:tc>
          <w:p>
            <w:pPr>
              <w:pStyle w:val="Compact"/>
              <w:jc w:val="left"/>
            </w:pPr>
            <w:r>
              <w:t xml:space="preserve">Already used by Revenue Intel / Client Brief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Derivatives</w:t>
            </w:r>
          </w:p>
        </w:tc>
        <w:tc>
          <w:p>
            <w:pPr>
              <w:pStyle w:val="Compact"/>
              <w:jc w:val="left"/>
            </w:pPr>
            <w:r>
              <w:t xml:space="preserve">Genie: derivatives trades + positions</w:t>
            </w:r>
          </w:p>
        </w:tc>
        <w:tc>
          <w:p>
            <w:pPr>
              <w:pStyle w:val="Compact"/>
              <w:jc w:val="left"/>
            </w:pPr>
            <w:r>
              <w:t xml:space="preserve">Perps/futures; funding for positions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Genie: options trades + risk</w:t>
            </w:r>
          </w:p>
        </w:tc>
        <w:tc>
          <w:p>
            <w:pPr>
              <w:pStyle w:val="Compact"/>
              <w:jc w:val="left"/>
            </w:pPr>
            <w:r>
              <w:t xml:space="preserve">Greeks (delta, vega) from the risk table. Include a</w:t>
            </w:r>
            <w:r>
              <w:t xml:space="preserve"> </w:t>
            </w:r>
            <w:r>
              <w:rPr>
                <w:b/>
              </w:rPr>
              <w:t xml:space="preserve">parent-order / structure id</w:t>
            </w:r>
            <w:r>
              <w:t xml:space="preserve"> </w:t>
            </w:r>
            <w:r>
              <w:t xml:space="preserve">on option legs if the OMS has one (powers strategy detection — see §5.3).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p>
            <w:pPr>
              <w:pStyle w:val="Compact"/>
              <w:jc w:val="left"/>
            </w:pPr>
            <w:r>
              <w:t xml:space="preserve">Credit desk deal table + collateral marks</w:t>
            </w:r>
          </w:p>
        </w:tc>
        <w:tc>
          <w:p>
            <w:pPr>
              <w:pStyle w:val="Compact"/>
              <w:jc w:val="left"/>
            </w:pPr>
            <w:r>
              <w:t xml:space="preserve">Facilities, LTV, maturities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</w:t>
            </w:r>
          </w:p>
        </w:tc>
        <w:tc>
          <w:p>
            <w:pPr>
              <w:pStyle w:val="Compact"/>
              <w:jc w:val="left"/>
            </w:pPr>
            <w:r>
              <w:t xml:space="preserve">FX trades table</w:t>
            </w:r>
          </w:p>
        </w:tc>
        <w:tc>
          <w:p/>
        </w:tc>
      </w:tr>
    </w:tbl>
    <w:p>
      <w:pPr>
        <w:pStyle w:val="BodyText"/>
      </w:pPr>
      <w:r>
        <w:t xml:space="preserve">We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need the app to compute risk — we need the desk’s existing marks and</w:t>
      </w:r>
      <w:r>
        <w:t xml:space="preserve"> </w:t>
      </w:r>
      <w:r>
        <w:t xml:space="preserve">greeks surfaced. Where a product has no clean table yet, we phase it in (§9).</w:t>
      </w:r>
    </w:p>
    <w:p>
      <w:pPr>
        <w:pStyle w:val="BodyText"/>
      </w:pPr>
      <w:r>
        <w:rPr>
          <w:b/>
        </w:rPr>
        <w:t xml:space="preserve">Options structure detection</w:t>
      </w:r>
      <w:r>
        <w:t xml:space="preserve"> </w:t>
      </w:r>
      <w:r>
        <w:t xml:space="preserve">(condor / put spread / covered call / …) is done in</w:t>
      </w:r>
      <w:r>
        <w:t xml:space="preserve"> </w:t>
      </w:r>
      <w:r>
        <w:t xml:space="preserve">the app from the legs — no extra table needed. It only needs (a) the option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TOKEN-DDMMMYY-STRIKE-{C|P}</w:t>
      </w:r>
      <w:r>
        <w:t xml:space="preserve"> </w:t>
      </w:r>
      <w:r>
        <w:t xml:space="preserve">format and, ideally,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structure_id</w:t>
      </w:r>
      <w:r>
        <w:t xml:space="preserve"> </w:t>
      </w:r>
      <w:r>
        <w:t xml:space="preserve">to group legs precisely. Without</w:t>
      </w:r>
      <w:r>
        <w:t xml:space="preserve"> </w:t>
      </w:r>
      <w:r>
        <w:rPr>
          <w:rStyle w:val="VerbatimChar"/>
        </w:rPr>
        <w:t xml:space="preserve">structure_id</w:t>
      </w:r>
      <w:r>
        <w:t xml:space="preserve"> </w:t>
      </w:r>
      <w:r>
        <w:t xml:space="preserve">it clusters legs</w:t>
      </w:r>
      <w:r>
        <w:t xml:space="preserve"> </w:t>
      </w:r>
      <w:r>
        <w:t xml:space="preserve">by entity + underlying + timestamp, which is good but not perfect for busy books.</w:t>
      </w:r>
    </w:p>
    <w:p>
      <w:pPr>
        <w:pStyle w:val="Heading2"/>
      </w:pPr>
      <w:bookmarkStart w:id="36" w:name="non-functional-requirements"/>
      <w:r>
        <w:t xml:space="preserve">8. Non-functional requirements</w:t>
      </w:r>
      <w:bookmarkEnd w:id="3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Freshness:</w:t>
      </w:r>
      <w:r>
        <w:t xml:space="preserve"> </w:t>
      </w:r>
      <w:r>
        <w:t xml:space="preserve">intraday is ideal for positions/credit; end-of-day is acceptable for</w:t>
      </w:r>
      <w:r>
        <w:t xml:space="preserve"> </w:t>
      </w:r>
      <w:r>
        <w:t xml:space="preserve">the v1. State the actual latency so the UI can label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queries are always scoped to one parent’s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set and a</w:t>
      </w:r>
      <w:r>
        <w:t xml:space="preserve"> </w:t>
      </w:r>
      <w:r>
        <w:t xml:space="preserve">date window — should be cheap with the right partitioning on</w:t>
      </w:r>
      <w:r>
        <w:t xml:space="preserve"> </w:t>
      </w:r>
      <w:r>
        <w:rPr>
          <w:rStyle w:val="VerbatimChar"/>
        </w:rPr>
        <w:t xml:space="preserve">pdate</w:t>
      </w:r>
      <w:r>
        <w:t xml:space="preserve">/entity.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Warehouse:</w:t>
      </w:r>
      <w:r>
        <w:t xml:space="preserve"> </w:t>
      </w:r>
      <w:r>
        <w:t xml:space="preserve">reuse the existing SQL warehouse (</w:t>
      </w:r>
      <w:r>
        <w:rPr>
          <w:rStyle w:val="VerbatimChar"/>
        </w:rPr>
        <w:t xml:space="preserve">9118f4f27caf0ffe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Config()</w:t>
      </w:r>
      <w:r>
        <w:t xml:space="preserve"> </w:t>
      </w:r>
      <w:r>
        <w:t xml:space="preserve">auth pattern already in this repo.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 caching of client data outside Databricks.</w:t>
      </w:r>
    </w:p>
    <w:p>
      <w:pPr>
        <w:pStyle w:val="Heading2"/>
      </w:pPr>
      <w:bookmarkStart w:id="37" w:name="phasing"/>
      <w:r>
        <w:t xml:space="preserve">9. Phasing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Phase 0 — done:</w:t>
      </w:r>
      <w:r>
        <w:t xml:space="preserve"> </w:t>
      </w:r>
      <w:r>
        <w:t xml:space="preserve">prototype + this spec (mock data, full UI).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Phase 1 — Entity resolution:</w:t>
      </w:r>
      <w:r>
        <w:t xml:space="preserve"> </w:t>
      </w:r>
      <w:r>
        <w:t xml:space="preserve">the parent↔entity mapping (§6). Unblocks everything.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Phase 2 — Spot + Credit live:</w:t>
      </w:r>
      <w:r>
        <w:t xml:space="preserve"> </w:t>
      </w:r>
      <w:r>
        <w:t xml:space="preserve">spot already exists; credit is the highest-value</w:t>
      </w:r>
      <w:r>
        <w:t xml:space="preserve"> </w:t>
      </w:r>
      <w:r>
        <w:t xml:space="preserve">net-new surface for the desk.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Phase 3 — Derivatives + Options:</w:t>
      </w:r>
      <w:r>
        <w:t xml:space="preserve"> </w:t>
      </w:r>
      <w:r>
        <w:t xml:space="preserve">positions, greeks, funding.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Phase 4 — FX</w:t>
      </w:r>
      <w:r>
        <w:t xml:space="preserve"> </w:t>
      </w:r>
      <w:r>
        <w:t xml:space="preserve">and intraday refresh.</w:t>
      </w:r>
    </w:p>
    <w:p>
      <w:pPr>
        <w:pStyle w:val="FirstParagraph"/>
      </w:pPr>
      <w:r>
        <w:t xml:space="preserve">Each phase = implement the relevant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function(s); the UI already handles</w:t>
      </w:r>
      <w:r>
        <w:t xml:space="preserve"> </w:t>
      </w:r>
      <w:r>
        <w:t xml:space="preserve">missing products gracefully (empty tabs show</w:t>
      </w:r>
      <w:r>
        <w:t xml:space="preserve"> </w:t>
      </w:r>
      <w:r>
        <w:t xml:space="preserve">“</w:t>
      </w:r>
      <w:r>
        <w:t xml:space="preserve">no activity</w:t>
      </w:r>
      <w:r>
        <w:t xml:space="preserve">”</w:t>
      </w:r>
      <w:r>
        <w:t xml:space="preserve">).</w:t>
      </w:r>
    </w:p>
    <w:p>
      <w:pPr>
        <w:pStyle w:val="Heading2"/>
      </w:pPr>
      <w:bookmarkStart w:id="38" w:name="X14d8f8c2d24adb7b4305d46c33e806f0227cca3"/>
      <w:r>
        <w:t xml:space="preserve">10. The AI analyst — compliance decision required</w:t>
      </w:r>
      <w:bookmarkEnd w:id="3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Analyst ✨</w:t>
      </w:r>
      <w:r>
        <w:t xml:space="preserve"> </w:t>
      </w:r>
      <w:r>
        <w:t xml:space="preserve">tab uses Claude Opus 4.8 to summarize a client’s activity and</w:t>
      </w:r>
      <w:r>
        <w:t xml:space="preserve"> </w:t>
      </w:r>
      <w:r>
        <w:t xml:space="preserve">answer live questions. It reasons only over the context the page already computed</w:t>
      </w:r>
      <w:r>
        <w:t xml:space="preserve"> </w:t>
      </w:r>
      <w:r>
        <w:t xml:space="preserve">(no separate data access).</w:t>
      </w:r>
      <w:r>
        <w:t xml:space="preserve"> </w:t>
      </w:r>
      <w:r>
        <w:rPr>
          <w:b/>
        </w:rPr>
        <w:t xml:space="preserve">But sending that context to a model is a data-egress</w:t>
      </w:r>
      <w:r>
        <w:rPr>
          <w:b/>
        </w:rPr>
        <w:t xml:space="preserve"> </w:t>
      </w:r>
      <w:r>
        <w:rPr>
          <w:b/>
        </w:rPr>
        <w:t xml:space="preserve">decision</w:t>
      </w:r>
      <w:r>
        <w:t xml:space="preserve">, because the context includes client names and positions.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Prototype (today):</w:t>
      </w:r>
      <w:r>
        <w:t xml:space="preserve"> </w:t>
      </w:r>
      <w:r>
        <w:t xml:space="preserve">calls the Anthropic API directly. This is fine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because the prototype runs on mock data — no real client information.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Production requirement:</w:t>
      </w:r>
      <w:r>
        <w:t xml:space="preserve"> </w:t>
      </w:r>
      <w:r>
        <w:t xml:space="preserve">the model call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send client data outside</w:t>
      </w:r>
      <w:r>
        <w:t xml:space="preserve"> </w:t>
      </w:r>
      <w:r>
        <w:t xml:space="preserve">Databricks. Options, in order of preference: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Databricks Model Serving</w:t>
      </w:r>
      <w:r>
        <w:t xml:space="preserve"> </w:t>
      </w:r>
      <w:r>
        <w:t xml:space="preserve">hosting Claude (or an FMAPI-served model) inside</w:t>
      </w:r>
      <w:r>
        <w:t xml:space="preserve"> </w:t>
      </w:r>
      <w:r>
        <w:t xml:space="preserve">the environment — the context never leaves the tenant.</w:t>
      </w:r>
      <w:r>
        <w:t xml:space="preserve"> </w:t>
      </w:r>
      <w:r>
        <w:rPr>
          <w:i/>
        </w:rPr>
        <w:t xml:space="preserve">(Preferred.)</w:t>
      </w:r>
    </w:p>
    <w:p>
      <w:pPr>
        <w:numPr>
          <w:ilvl w:val="1"/>
          <w:numId w:val="1007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approved, in-VPC Claude endpoint</w:t>
      </w:r>
      <w:r>
        <w:t xml:space="preserve"> </w:t>
      </w:r>
      <w:r>
        <w:t xml:space="preserve">/ gateway already cleared for client data.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Anonymize before sending</w:t>
      </w:r>
      <w:r>
        <w:t xml:space="preserve"> </w:t>
      </w:r>
      <w:r>
        <w:t xml:space="preserve">— replace entity names with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ENTITY_1</w:t>
      </w:r>
      <w:r>
        <w:t xml:space="preserve">, …) and drop identifiers, re-mapping on display. Weaker; needs</w:t>
      </w:r>
      <w:r>
        <w:t xml:space="preserve"> </w:t>
      </w:r>
      <w:r>
        <w:t xml:space="preserve">sign-off.</w:t>
      </w:r>
    </w:p>
    <w:p>
      <w:pPr>
        <w:pStyle w:val="FirstParagraph"/>
      </w:pPr>
      <w:r>
        <w:rPr>
          <w:rStyle w:val="VerbatimChar"/>
        </w:rPr>
        <w:t xml:space="preserve">llm.py</w:t>
      </w:r>
      <w:r>
        <w:t xml:space="preserve"> </w:t>
      </w:r>
      <w:r>
        <w:t xml:space="preserve">is isolated precisely so this swap is a one-file change: point it at the</w:t>
      </w:r>
      <w:r>
        <w:t xml:space="preserve"> </w:t>
      </w:r>
      <w:r>
        <w:t xml:space="preserve">approved endpoint and the rest of the app is unaffected.</w:t>
      </w:r>
      <w:r>
        <w:t xml:space="preserve"> </w:t>
      </w:r>
      <w:r>
        <w:rPr>
          <w:b/>
        </w:rPr>
        <w:t xml:space="preserve">This needs a data-</w:t>
      </w:r>
      <w:r>
        <w:rPr>
          <w:b/>
        </w:rPr>
        <w:t xml:space="preserve"> </w:t>
      </w:r>
      <w:r>
        <w:rPr>
          <w:b/>
        </w:rPr>
        <w:t xml:space="preserve">governance decision before the analyst goes live on real clients.</w:t>
      </w:r>
    </w:p>
    <w:p>
      <w:pPr>
        <w:pStyle w:val="Heading2"/>
      </w:pPr>
      <w:bookmarkStart w:id="39" w:name="open-questions-for-engineering"/>
      <w:r>
        <w:t xml:space="preserve">11. Open questions for engineering</w:t>
      </w:r>
      <w:bookmarkEnd w:id="39"/>
    </w:p>
    <w:p>
      <w:pPr>
        <w:numPr>
          <w:ilvl w:val="0"/>
          <w:numId w:val="1008"/>
        </w:numPr>
        <w:pStyle w:val="Compact"/>
      </w:pPr>
      <w:r>
        <w:t xml:space="preserve">Does a parent↔entity mapping exist anywhere, or do we build it? Preferred source?</w:t>
      </w:r>
    </w:p>
    <w:p>
      <w:pPr>
        <w:numPr>
          <w:ilvl w:val="0"/>
          <w:numId w:val="1008"/>
        </w:numPr>
        <w:pStyle w:val="Compact"/>
      </w:pPr>
      <w:r>
        <w:t xml:space="preserve">Exact table names / Genie space handles for derivatives, options, credit, FX.</w:t>
      </w:r>
    </w:p>
    <w:p>
      <w:pPr>
        <w:numPr>
          <w:ilvl w:val="0"/>
          <w:numId w:val="1008"/>
        </w:numPr>
        <w:pStyle w:val="Compact"/>
      </w:pPr>
      <w:r>
        <w:t xml:space="preserve">Do option legs carry a parent-order / structure id we can expose as</w:t>
      </w:r>
      <w:r>
        <w:t xml:space="preserve"> </w:t>
      </w:r>
      <w:r>
        <w:rPr>
          <w:rStyle w:val="VerbatimChar"/>
        </w:rPr>
        <w:t xml:space="preserve">structure_id</w:t>
      </w:r>
      <w:r>
        <w:t xml:space="preserve">?</w:t>
      </w:r>
    </w:p>
    <w:p>
      <w:pPr>
        <w:numPr>
          <w:ilvl w:val="0"/>
          <w:numId w:val="1008"/>
        </w:numPr>
        <w:pStyle w:val="Compact"/>
      </w:pPr>
      <w:r>
        <w:t xml:space="preserve">Are marks, greeks, and LTV pre-computed in those tables, or do we compute them?</w:t>
      </w:r>
    </w:p>
    <w:p>
      <w:pPr>
        <w:numPr>
          <w:ilvl w:val="0"/>
          <w:numId w:val="1008"/>
        </w:numPr>
        <w:pStyle w:val="Compact"/>
      </w:pPr>
      <w:r>
        <w:t xml:space="preserve">Achievable refresh latency per product?</w:t>
      </w:r>
    </w:p>
    <w:p>
      <w:pPr>
        <w:numPr>
          <w:ilvl w:val="0"/>
          <w:numId w:val="1008"/>
        </w:numPr>
        <w:pStyle w:val="Compact"/>
      </w:pPr>
      <w:r>
        <w:t xml:space="preserve">Any fields that access control forbids surfacing even to the desk?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AI analyst:</w:t>
      </w:r>
      <w:r>
        <w:t xml:space="preserve"> </w:t>
      </w:r>
      <w:r>
        <w:t xml:space="preserve">is there an approved in-Databricks Claude/LLM endpoint we should</w:t>
      </w:r>
      <w:r>
        <w:t xml:space="preserve"> </w:t>
      </w:r>
      <w:r>
        <w:t xml:space="preserve">target (see §10), or do we gate the analyst until one exists?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2026-07-16T22:21:37Z</dcterms:created>
  <dcterms:modified xsi:type="dcterms:W3CDTF">2026-07-16T22:21:37Z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