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A6B"/>
          <w:sz w:val="32"/>
        </w:rPr>
        <w:t>FLEET NETWORK INTELLIGENCE — FNI Gestão de Frotas</w:t>
      </w:r>
    </w:p>
    <w:p>
      <w:pPr>
        <w:jc w:val="center"/>
      </w:pPr>
      <w:r>
        <w:rPr>
          <w:rFonts w:ascii="Arial" w:hAnsi="Arial"/>
          <w:b w:val="0"/>
          <w:color w:val="1B3A6B"/>
          <w:sz w:val="22"/>
        </w:rPr>
        <w:t>fxgestaodefrotasonline.com</w:t>
      </w:r>
    </w:p>
    <w:p/>
    <w:p>
      <w:pPr>
        <w:jc w:val="center"/>
      </w:pPr>
      <w:r>
        <w:rPr>
          <w:rFonts w:ascii="Arial" w:hAnsi="Arial"/>
          <w:b/>
          <w:color w:val="1B3A6B"/>
          <w:sz w:val="28"/>
        </w:rPr>
        <w:t>TERMO DE ADESÃO E CONTRATO DE PRESTAÇÃO DE SERVIÇOS</w:t>
      </w:r>
    </w:p>
    <w:p>
      <w:pPr>
        <w:jc w:val="center"/>
      </w:pPr>
      <w:r>
        <w:rPr>
          <w:rFonts w:ascii="Arial" w:hAnsi="Arial"/>
          <w:b w:val="0"/>
          <w:color w:val="1B3A6B"/>
          <w:sz w:val="22"/>
        </w:rPr>
        <w:t>Versão 1.0 — 11/06/2026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Razão Social / Nome: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CNPJ / CPF: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 de acesso: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Plano escolhido:</w:t>
            </w:r>
          </w:p>
        </w:tc>
        <w:tc>
          <w:tcPr>
            <w:tcW w:type="dxa" w:w="4320"/>
          </w:tcPr>
          <w:p>
            <w:r>
              <w:t>( ) Básico R$149/mês   ( ) Pro R$349/mês   ( ) Enterprise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adesão:</w:t>
            </w:r>
          </w:p>
        </w:tc>
        <w:tc>
          <w:tcPr>
            <w:tcW w:type="dxa" w:w="4320"/>
          </w:tcPr>
          <w:p>
            <w:r>
              <w:t>____/____/________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Aceite eletrônico:</w:t>
            </w:r>
          </w:p>
        </w:tc>
        <w:tc>
          <w:tcPr>
            <w:tcW w:type="dxa" w:w="4320"/>
          </w:tcPr>
          <w:p>
            <w:r>
              <w:t>Registrado automaticamente pela plataforma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I — DAS PARTES E DO OBJETO</w:t>
      </w:r>
    </w:p>
    <w:p>
      <w:pPr>
        <w:pStyle w:val="Heading2"/>
      </w:pPr>
      <w:r>
        <w:rPr>
          <w:rFonts w:ascii="Arial" w:hAnsi="Arial"/>
          <w:color w:val="0B7A75"/>
        </w:rPr>
        <w:t>Cláusula 1ª — Das Partes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1.1. CONTRATADA: FLEET NETWORK INTELLIGENCE LTDA. (FNI), operadora da plataforma SaaS FNI Gestão de Frotas, acessível em fxgestaodefrotasonline.com.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1.2. CONTRATANTE: Pessoa física ou jurídica que realiza a adesão eletrônica, doravante denominada CLIENTE.</w:t>
      </w:r>
    </w:p>
    <w:p>
      <w:pPr>
        <w:pStyle w:val="Heading2"/>
      </w:pPr>
      <w:r>
        <w:rPr>
          <w:rFonts w:ascii="Arial" w:hAnsi="Arial"/>
          <w:color w:val="0B7A75"/>
        </w:rPr>
        <w:t>Cláusula 2ª — Do Objeto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2.1. Prestação de serviços de Software como Serviço (SaaS) de gestão inteligente de frotas e combustíveis, nos limites do plano contratado.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2.2. Recursos da plataforma:</w:t>
      </w:r>
    </w:p>
    <w:p>
      <w:pPr>
        <w:pStyle w:val="ListBullet"/>
      </w:pPr>
      <w:r>
        <w:rPr>
          <w:rFonts w:ascii="Arial" w:hAnsi="Arial"/>
          <w:sz w:val="22"/>
        </w:rPr>
        <w:t>Consulta e análise de preços ANP (~38.000 postos);</w:t>
      </w:r>
    </w:p>
    <w:p>
      <w:pPr>
        <w:pStyle w:val="ListBullet"/>
      </w:pPr>
      <w:r>
        <w:rPr>
          <w:rFonts w:ascii="Arial" w:hAnsi="Arial"/>
          <w:sz w:val="22"/>
        </w:rPr>
        <w:t>Roteirização otimizada para frotas;</w:t>
      </w:r>
    </w:p>
    <w:p>
      <w:pPr>
        <w:pStyle w:val="ListBullet"/>
      </w:pPr>
      <w:r>
        <w:rPr>
          <w:rFonts w:ascii="Arial" w:hAnsi="Arial"/>
          <w:sz w:val="22"/>
        </w:rPr>
        <w:t>Dashboard analítico e comparativos ANP;</w:t>
      </w:r>
    </w:p>
    <w:p>
      <w:pPr>
        <w:pStyle w:val="ListBullet"/>
      </w:pPr>
      <w:r>
        <w:rPr>
          <w:rFonts w:ascii="Arial" w:hAnsi="Arial"/>
          <w:sz w:val="22"/>
        </w:rPr>
        <w:t>Relatórios exportáveis em PDF e Excel;</w:t>
      </w:r>
    </w:p>
    <w:p>
      <w:pPr>
        <w:pStyle w:val="ListBullet"/>
      </w:pPr>
      <w:r>
        <w:rPr>
          <w:rFonts w:ascii="Arial" w:hAnsi="Arial"/>
          <w:sz w:val="22"/>
        </w:rPr>
        <w:t>Assistente IA (planos Pro e Enterprise);</w:t>
      </w:r>
    </w:p>
    <w:p>
      <w:pPr>
        <w:pStyle w:val="ListBullet"/>
      </w:pPr>
      <w:r>
        <w:rPr>
          <w:rFonts w:ascii="Arial" w:hAnsi="Arial"/>
          <w:sz w:val="22"/>
        </w:rPr>
        <w:t>API e integrações com Ticket Log, Rede Frota, Veloe e Pró-Frotas.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II — DOS PLANOS E VALORES</w:t>
      </w:r>
    </w:p>
    <w:p>
      <w:pPr>
        <w:pStyle w:val="Heading2"/>
      </w:pPr>
      <w:r>
        <w:rPr>
          <w:rFonts w:ascii="Arial" w:hAnsi="Arial"/>
          <w:color w:val="0B7A75"/>
        </w:rPr>
        <w:t>Cláusula 3ª — Planos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Básico R$149/mês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 R$349/mês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Enterprise</w:t>
            </w:r>
          </w:p>
        </w:tc>
      </w:tr>
      <w:tr>
        <w:tc>
          <w:tcPr>
            <w:tcW w:type="dxa" w:w="2160"/>
          </w:tcPr>
          <w:p>
            <w:r>
              <w:t>Usuários</w:t>
            </w:r>
          </w:p>
        </w:tc>
        <w:tc>
          <w:tcPr>
            <w:tcW w:type="dxa" w:w="2160"/>
          </w:tcPr>
          <w:p>
            <w:r>
              <w:t>Até 5</w:t>
            </w:r>
          </w:p>
        </w:tc>
        <w:tc>
          <w:tcPr>
            <w:tcW w:type="dxa" w:w="2160"/>
          </w:tcPr>
          <w:p>
            <w:r>
              <w:t>Até 20</w:t>
            </w:r>
          </w:p>
        </w:tc>
        <w:tc>
          <w:tcPr>
            <w:tcW w:type="dxa" w:w="2160"/>
          </w:tcPr>
          <w:p>
            <w:r>
              <w:t>Ilimitado</w:t>
            </w:r>
          </w:p>
        </w:tc>
      </w:tr>
      <w:tr>
        <w:tc>
          <w:tcPr>
            <w:tcW w:type="dxa" w:w="2160"/>
          </w:tcPr>
          <w:p>
            <w:r>
              <w:t>Veículos</w:t>
            </w:r>
          </w:p>
        </w:tc>
        <w:tc>
          <w:tcPr>
            <w:tcW w:type="dxa" w:w="2160"/>
          </w:tcPr>
          <w:p>
            <w:r>
              <w:t>Até 50</w:t>
            </w:r>
          </w:p>
        </w:tc>
        <w:tc>
          <w:tcPr>
            <w:tcW w:type="dxa" w:w="2160"/>
          </w:tcPr>
          <w:p>
            <w:r>
              <w:t>Até 200</w:t>
            </w:r>
          </w:p>
        </w:tc>
        <w:tc>
          <w:tcPr>
            <w:tcW w:type="dxa" w:w="2160"/>
          </w:tcPr>
          <w:p>
            <w:r>
              <w:t>Ilimitado</w:t>
            </w:r>
          </w:p>
        </w:tc>
      </w:tr>
      <w:tr>
        <w:tc>
          <w:tcPr>
            <w:tcW w:type="dxa" w:w="2160"/>
          </w:tcPr>
          <w:p>
            <w:r>
              <w:t>Postos ANP</w:t>
            </w:r>
          </w:p>
        </w:tc>
        <w:tc>
          <w:tcPr>
            <w:tcW w:type="dxa" w:w="2160"/>
          </w:tcPr>
          <w:p>
            <w:r>
              <w:t>~38.000</w:t>
            </w:r>
          </w:p>
        </w:tc>
        <w:tc>
          <w:tcPr>
            <w:tcW w:type="dxa" w:w="2160"/>
          </w:tcPr>
          <w:p>
            <w:r>
              <w:t>~38.000</w:t>
            </w:r>
          </w:p>
        </w:tc>
        <w:tc>
          <w:tcPr>
            <w:tcW w:type="dxa" w:w="2160"/>
          </w:tcPr>
          <w:p>
            <w:r>
              <w:t>~38.000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  <w:tc>
          <w:tcPr>
            <w:tcW w:type="dxa" w:w="2160"/>
          </w:tcPr>
          <w:p>
            <w:r>
              <w:t>Completo</w:t>
            </w:r>
          </w:p>
        </w:tc>
        <w:tc>
          <w:tcPr>
            <w:tcW w:type="dxa" w:w="2160"/>
          </w:tcPr>
          <w:p>
            <w:r>
              <w:t>Personalizado</w:t>
            </w:r>
          </w:p>
        </w:tc>
      </w:tr>
      <w:tr>
        <w:tc>
          <w:tcPr>
            <w:tcW w:type="dxa" w:w="2160"/>
          </w:tcPr>
          <w:p>
            <w:r>
              <w:t>Assistente IA</w:t>
            </w:r>
          </w:p>
        </w:tc>
        <w:tc>
          <w:tcPr>
            <w:tcW w:type="dxa" w:w="2160"/>
          </w:tcPr>
          <w:p>
            <w:r>
              <w:t>FAQ</w:t>
            </w:r>
          </w:p>
        </w:tc>
        <w:tc>
          <w:tcPr>
            <w:tcW w:type="dxa" w:w="2160"/>
          </w:tcPr>
          <w:p>
            <w:r>
              <w:t>Claude AI</w:t>
            </w:r>
          </w:p>
        </w:tc>
        <w:tc>
          <w:tcPr>
            <w:tcW w:type="dxa" w:w="2160"/>
          </w:tcPr>
          <w:p>
            <w:r>
              <w:t>Claude AI</w:t>
            </w:r>
          </w:p>
        </w:tc>
      </w:tr>
      <w:tr>
        <w:tc>
          <w:tcPr>
            <w:tcW w:type="dxa" w:w="2160"/>
          </w:tcPr>
          <w:p>
            <w:r>
              <w:t>API &amp; Integrações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 + Webhooks</w:t>
            </w:r>
          </w:p>
        </w:tc>
      </w:tr>
      <w:tr>
        <w:tc>
          <w:tcPr>
            <w:tcW w:type="dxa" w:w="2160"/>
          </w:tcPr>
          <w:p>
            <w:r>
              <w:t>SLA Suporte</w:t>
            </w:r>
          </w:p>
        </w:tc>
        <w:tc>
          <w:tcPr>
            <w:tcW w:type="dxa" w:w="2160"/>
          </w:tcPr>
          <w:p>
            <w:r>
              <w:t>48h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99,95% / 24/7</w:t>
            </w:r>
          </w:p>
        </w:tc>
      </w:tr>
      <w:tr>
        <w:tc>
          <w:tcPr>
            <w:tcW w:type="dxa" w:w="2160"/>
          </w:tcPr>
          <w:p>
            <w:r>
              <w:t>Trial gratuito</w:t>
            </w:r>
          </w:p>
        </w:tc>
        <w:tc>
          <w:tcPr>
            <w:tcW w:type="dxa" w:w="2160"/>
          </w:tcPr>
          <w:p>
            <w:r>
              <w:t>14 dias</w:t>
            </w:r>
          </w:p>
        </w:tc>
        <w:tc>
          <w:tcPr>
            <w:tcW w:type="dxa" w:w="2160"/>
          </w:tcPr>
          <w:p>
            <w:r>
              <w:t>14 dias</w:t>
            </w:r>
          </w:p>
        </w:tc>
        <w:tc>
          <w:tcPr>
            <w:tcW w:type="dxa" w:w="2160"/>
          </w:tcPr>
          <w:p>
            <w:r>
              <w:t>A negociar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B7A75"/>
        </w:rPr>
        <w:t>Cláusula 4ª — Condições de Pagamento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4.1. Cobrança mensal recorrente via cartão ou boleto processado pela Stripe.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4.2. Renovação automática ao final de cada ciclo, salvo cancelamento com 5 dias de antecedência.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4.3. Reajuste anual com notificação prévia de 30 dias.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4.4. Inadimplência acima de 10 dias: suspensão, multa de 2% e juros de 1% a.m.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III — DOS DIREITOS E OBRIGAÇÕES</w:t>
      </w:r>
    </w:p>
    <w:p>
      <w:pPr>
        <w:pStyle w:val="Heading2"/>
      </w:pPr>
      <w:r>
        <w:rPr>
          <w:rFonts w:ascii="Arial" w:hAnsi="Arial"/>
          <w:color w:val="0B7A75"/>
        </w:rPr>
        <w:t>Cláusula 5ª — Direitos do Cliente</w:t>
      </w:r>
    </w:p>
    <w:p>
      <w:pPr>
        <w:pStyle w:val="ListBullet"/>
      </w:pPr>
      <w:r>
        <w:rPr>
          <w:rFonts w:ascii="Arial" w:hAnsi="Arial"/>
          <w:sz w:val="22"/>
        </w:rPr>
        <w:t>Acessar todos os recursos do plano contratado;</w:t>
      </w:r>
    </w:p>
    <w:p>
      <w:pPr>
        <w:pStyle w:val="ListBullet"/>
      </w:pPr>
      <w:r>
        <w:rPr>
          <w:rFonts w:ascii="Arial" w:hAnsi="Arial"/>
          <w:sz w:val="22"/>
        </w:rPr>
        <w:t>Suporte técnico nos prazos do plano (48h / 24h / 24x7);</w:t>
      </w:r>
    </w:p>
    <w:p>
      <w:pPr>
        <w:pStyle w:val="ListBullet"/>
      </w:pPr>
      <w:r>
        <w:rPr>
          <w:rFonts w:ascii="Arial" w:hAnsi="Arial"/>
          <w:sz w:val="22"/>
        </w:rPr>
        <w:t>Portabilidade dos dados em até 30 dias por solicitação;</w:t>
      </w:r>
    </w:p>
    <w:p>
      <w:pPr>
        <w:pStyle w:val="ListBullet"/>
      </w:pPr>
      <w:r>
        <w:rPr>
          <w:rFonts w:ascii="Arial" w:hAnsi="Arial"/>
          <w:sz w:val="22"/>
        </w:rPr>
        <w:t>Exclusão de dados pessoais conforme LGPD;</w:t>
      </w:r>
    </w:p>
    <w:p>
      <w:pPr>
        <w:pStyle w:val="ListBullet"/>
      </w:pPr>
      <w:r>
        <w:rPr>
          <w:rFonts w:ascii="Arial" w:hAnsi="Arial"/>
          <w:sz w:val="22"/>
        </w:rPr>
        <w:t>Cancelamento sem multa com 5 dias de antecedência;</w:t>
      </w:r>
    </w:p>
    <w:p>
      <w:pPr>
        <w:pStyle w:val="ListBullet"/>
      </w:pPr>
      <w:r>
        <w:rPr>
          <w:rFonts w:ascii="Arial" w:hAnsi="Arial"/>
          <w:sz w:val="22"/>
        </w:rPr>
        <w:t>Notificação prévia de 30 dias sobre mudanças relevantes.</w:t>
      </w:r>
    </w:p>
    <w:p>
      <w:pPr>
        <w:pStyle w:val="Heading2"/>
      </w:pPr>
      <w:r>
        <w:rPr>
          <w:rFonts w:ascii="Arial" w:hAnsi="Arial"/>
          <w:color w:val="0B7A75"/>
        </w:rPr>
        <w:t>Cláusula 6ª — Obrigações do Cliente</w:t>
      </w:r>
    </w:p>
    <w:p>
      <w:pPr>
        <w:pStyle w:val="ListBullet"/>
      </w:pPr>
      <w:r>
        <w:rPr>
          <w:rFonts w:ascii="Arial" w:hAnsi="Arial"/>
          <w:sz w:val="22"/>
        </w:rPr>
        <w:t>Usar a plataforma exclusivamente para fins lícitos;</w:t>
      </w:r>
    </w:p>
    <w:p>
      <w:pPr>
        <w:pStyle w:val="ListBullet"/>
      </w:pPr>
      <w:r>
        <w:rPr>
          <w:rFonts w:ascii="Arial" w:hAnsi="Arial"/>
          <w:sz w:val="22"/>
        </w:rPr>
        <w:t>Não compartilhar credenciais com terceiros não autorizados;</w:t>
      </w:r>
    </w:p>
    <w:p>
      <w:pPr>
        <w:pStyle w:val="ListBullet"/>
      </w:pPr>
      <w:r>
        <w:rPr>
          <w:rFonts w:ascii="Arial" w:hAnsi="Arial"/>
          <w:sz w:val="22"/>
        </w:rPr>
        <w:t>Manter dados cadastrais atualizados;</w:t>
      </w:r>
    </w:p>
    <w:p>
      <w:pPr>
        <w:pStyle w:val="ListBullet"/>
      </w:pPr>
      <w:r>
        <w:rPr>
          <w:rFonts w:ascii="Arial" w:hAnsi="Arial"/>
          <w:sz w:val="22"/>
        </w:rPr>
        <w:t>Não realizar engenharia reversa ou extração não autorizada;</w:t>
      </w:r>
    </w:p>
    <w:p>
      <w:pPr>
        <w:pStyle w:val="ListBullet"/>
      </w:pPr>
      <w:r>
        <w:rPr>
          <w:rFonts w:ascii="Arial" w:hAnsi="Arial"/>
          <w:sz w:val="22"/>
        </w:rPr>
        <w:t>Não comprometer a segurança da plataforma;</w:t>
      </w:r>
    </w:p>
    <w:p>
      <w:pPr>
        <w:pStyle w:val="ListBullet"/>
      </w:pPr>
      <w:r>
        <w:rPr>
          <w:rFonts w:ascii="Arial" w:hAnsi="Arial"/>
          <w:sz w:val="22"/>
        </w:rPr>
        <w:t>Efetuar pagamentos nas datas acordadas.</w:t>
      </w:r>
    </w:p>
    <w:p>
      <w:pPr>
        <w:pStyle w:val="Heading2"/>
      </w:pPr>
      <w:r>
        <w:rPr>
          <w:rFonts w:ascii="Arial" w:hAnsi="Arial"/>
          <w:color w:val="0B7A75"/>
        </w:rPr>
        <w:t>Cláusula 7ª — Obrigações da FNI</w:t>
      </w:r>
    </w:p>
    <w:p>
      <w:pPr>
        <w:pStyle w:val="ListBullet"/>
      </w:pPr>
      <w:r>
        <w:rPr>
          <w:rFonts w:ascii="Arial" w:hAnsi="Arial"/>
          <w:sz w:val="22"/>
        </w:rPr>
        <w:t>Manter plataforma disponível conforme SLAs;</w:t>
      </w:r>
    </w:p>
    <w:p>
      <w:pPr>
        <w:pStyle w:val="ListBullet"/>
      </w:pPr>
      <w:r>
        <w:rPr>
          <w:rFonts w:ascii="Arial" w:hAnsi="Arial"/>
          <w:sz w:val="22"/>
        </w:rPr>
        <w:t>Proteger dados com TLS 1.3 em trânsito e criptografia em repouso;</w:t>
      </w:r>
    </w:p>
    <w:p>
      <w:pPr>
        <w:pStyle w:val="ListBullet"/>
      </w:pPr>
      <w:r>
        <w:rPr>
          <w:rFonts w:ascii="Arial" w:hAnsi="Arial"/>
          <w:sz w:val="22"/>
        </w:rPr>
        <w:t>Isolar dados entre tenants com Row Level Security;</w:t>
      </w:r>
    </w:p>
    <w:p>
      <w:pPr>
        <w:pStyle w:val="ListBullet"/>
      </w:pPr>
      <w:r>
        <w:rPr>
          <w:rFonts w:ascii="Arial" w:hAnsi="Arial"/>
          <w:sz w:val="22"/>
        </w:rPr>
        <w:t>Notificar incidentes de segurança em até 72 horas;</w:t>
      </w:r>
    </w:p>
    <w:p>
      <w:pPr>
        <w:pStyle w:val="ListBullet"/>
      </w:pPr>
      <w:r>
        <w:rPr>
          <w:rFonts w:ascii="Arial" w:hAnsi="Arial"/>
          <w:sz w:val="22"/>
        </w:rPr>
        <w:t>Manter backups por no mínimo 90 dias.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IV — DO USO ADEQUADO</w:t>
      </w:r>
    </w:p>
    <w:p>
      <w:pPr>
        <w:pStyle w:val="Heading2"/>
      </w:pPr>
      <w:r>
        <w:rPr>
          <w:rFonts w:ascii="Arial" w:hAnsi="Arial"/>
          <w:color w:val="0B7A75"/>
        </w:rPr>
        <w:t>Cláusula 8ª — Uso Aceitável e Restrições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8.1. É expressamente proibido ao CLIENTE:</w:t>
      </w:r>
    </w:p>
    <w:p>
      <w:pPr>
        <w:pStyle w:val="ListBullet"/>
      </w:pPr>
      <w:r>
        <w:rPr>
          <w:rFonts w:ascii="Arial" w:hAnsi="Arial"/>
          <w:sz w:val="22"/>
        </w:rPr>
        <w:t>Acessar a plataforma por bots ou scrapers sem autorização;</w:t>
      </w:r>
    </w:p>
    <w:p>
      <w:pPr>
        <w:pStyle w:val="ListBullet"/>
      </w:pPr>
      <w:r>
        <w:rPr>
          <w:rFonts w:ascii="Arial" w:hAnsi="Arial"/>
          <w:sz w:val="22"/>
        </w:rPr>
        <w:t>Contornar mecanismos de autenticação ou controle de acesso;</w:t>
      </w:r>
    </w:p>
    <w:p>
      <w:pPr>
        <w:pStyle w:val="ListBullet"/>
      </w:pPr>
      <w:r>
        <w:rPr>
          <w:rFonts w:ascii="Arial" w:hAnsi="Arial"/>
          <w:sz w:val="22"/>
        </w:rPr>
        <w:t>Fazer upload de arquivos maliciosos ou código prejudicial;</w:t>
      </w:r>
    </w:p>
    <w:p>
      <w:pPr>
        <w:pStyle w:val="ListBullet"/>
      </w:pPr>
      <w:r>
        <w:rPr>
          <w:rFonts w:ascii="Arial" w:hAnsi="Arial"/>
          <w:sz w:val="22"/>
        </w:rPr>
        <w:t>Usar a plataforma em violação à LGPD ou Marco Civil da Internet;</w:t>
      </w:r>
    </w:p>
    <w:p>
      <w:pPr>
        <w:pStyle w:val="ListBullet"/>
      </w:pPr>
      <w:r>
        <w:rPr>
          <w:rFonts w:ascii="Arial" w:hAnsi="Arial"/>
          <w:sz w:val="22"/>
        </w:rPr>
        <w:t>Sublicenciar ou ceder acesso a terceiros sem consentimento da FNI.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V — SEGURANÇA DA INFORMAÇÃO E LGPD</w:t>
      </w:r>
    </w:p>
    <w:p>
      <w:pPr>
        <w:pStyle w:val="Heading2"/>
      </w:pPr>
      <w:r>
        <w:rPr>
          <w:rFonts w:ascii="Arial" w:hAnsi="Arial"/>
          <w:color w:val="0B7A75"/>
        </w:rPr>
        <w:t>Cláusula 9ª — Medidas de Segurança Adotadas</w:t>
      </w:r>
    </w:p>
    <w:p>
      <w:pPr>
        <w:pStyle w:val="ListBullet"/>
      </w:pPr>
      <w:r>
        <w:rPr>
          <w:rFonts w:ascii="Arial" w:hAnsi="Arial"/>
          <w:sz w:val="22"/>
        </w:rPr>
        <w:t>Autenticação OAuth 2.0 via Google e Microsoft;</w:t>
      </w:r>
    </w:p>
    <w:p>
      <w:pPr>
        <w:pStyle w:val="ListBullet"/>
      </w:pPr>
      <w:r>
        <w:rPr>
          <w:rFonts w:ascii="Arial" w:hAnsi="Arial"/>
          <w:sz w:val="22"/>
        </w:rPr>
        <w:t>MFA disponível para todos os usuários;</w:t>
      </w:r>
    </w:p>
    <w:p>
      <w:pPr>
        <w:pStyle w:val="ListBullet"/>
      </w:pPr>
      <w:r>
        <w:rPr>
          <w:rFonts w:ascii="Arial" w:hAnsi="Arial"/>
          <w:sz w:val="22"/>
        </w:rPr>
        <w:t>TLS 1.3 obrigatório em todas as comunicações;</w:t>
      </w:r>
    </w:p>
    <w:p>
      <w:pPr>
        <w:pStyle w:val="ListBullet"/>
      </w:pPr>
      <w:r>
        <w:rPr>
          <w:rFonts w:ascii="Arial" w:hAnsi="Arial"/>
          <w:sz w:val="22"/>
        </w:rPr>
        <w:t>Dados em repouso criptografados no Supabase/PostgreSQL;</w:t>
      </w:r>
    </w:p>
    <w:p>
      <w:pPr>
        <w:pStyle w:val="ListBullet"/>
      </w:pPr>
      <w:r>
        <w:rPr>
          <w:rFonts w:ascii="Arial" w:hAnsi="Arial"/>
          <w:sz w:val="22"/>
        </w:rPr>
        <w:t>Isolamento por tenant com Row Level Security (RLS);</w:t>
      </w:r>
    </w:p>
    <w:p>
      <w:pPr>
        <w:pStyle w:val="ListBullet"/>
      </w:pPr>
      <w:r>
        <w:rPr>
          <w:rFonts w:ascii="Arial" w:hAnsi="Arial"/>
          <w:sz w:val="22"/>
        </w:rPr>
        <w:t>WAF com proteção contra SQL Injection e XSS;</w:t>
      </w:r>
    </w:p>
    <w:p>
      <w:pPr>
        <w:pStyle w:val="ListBullet"/>
      </w:pPr>
      <w:r>
        <w:rPr>
          <w:rFonts w:ascii="Arial" w:hAnsi="Arial"/>
          <w:sz w:val="22"/>
        </w:rPr>
        <w:t>Logs de auditoria de todas as ações administrativas.</w:t>
      </w:r>
    </w:p>
    <w:p>
      <w:pPr>
        <w:pStyle w:val="Heading2"/>
      </w:pPr>
      <w:r>
        <w:rPr>
          <w:rFonts w:ascii="Arial" w:hAnsi="Arial"/>
          <w:color w:val="0B7A75"/>
        </w:rPr>
        <w:t>Cláusula 10ª — Tratamento de Dados Pessoais (LGPD)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10.1. A FNI é Controladora dos dados pessoais nos termos da Lei nº 13.709/2018 (LGPD).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10.2. Dados tratados: identificação (nome, e-mail, CNPJ/CPF), dados de uso e dados operacionais inseridos pelo CLIENTE.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10.3. Bases legais: execução de contrato (art. 7º, V), legítimo interesse (art. 7º, IX) e consentimento (art. 7º, I).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10.4. Direitos dos Titulares: acesso, correção, eliminação, portabilidade e revogação via privacidade@fxgestaodefrotasonline.com.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10.5. DPO: contato@fxgestaodefrotasonline.com.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10.6. Retenção: 90 dias após cancelamento; logs de auditoria por 12 meses.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VI — DA CONFIDENCIALIDADE</w:t>
      </w:r>
    </w:p>
    <w:p>
      <w:pPr>
        <w:pStyle w:val="Heading2"/>
      </w:pPr>
      <w:r>
        <w:rPr>
          <w:rFonts w:ascii="Arial" w:hAnsi="Arial"/>
          <w:color w:val="0B7A75"/>
        </w:rPr>
        <w:t>Cláusula 11ª — Obrigação de Confidencialidade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11.1. As Partes mantêm sigilo sobre informações confidenciais: dados operacionais, algoritmos, código-fonte, estratégias comerciais e dados de terceiros.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11.2. Vigência: 5 anos após encerramento deste Termo.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11.3. Exceções: domínio público ou ordem judicial/regulatória.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PARTE VII — DISPOSIÇÕES GERAIS</w:t>
      </w:r>
    </w:p>
    <w:p>
      <w:pPr>
        <w:pStyle w:val="Heading2"/>
      </w:pPr>
      <w:r>
        <w:rPr>
          <w:rFonts w:ascii="Arial" w:hAnsi="Arial"/>
          <w:color w:val="0B7A75"/>
        </w:rPr>
        <w:t>Cláusula 12ª — Propriedade Intelectual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12.1. Todos os direitos sobre a plataforma (código, algoritmos, design) são de titularidade exclusiva da FNI.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12.2. O CLIENTE mantém propriedade sobre todos os dados que inserir na plataforma.</w:t>
      </w:r>
    </w:p>
    <w:p>
      <w:pPr>
        <w:pStyle w:val="Heading2"/>
      </w:pPr>
      <w:r>
        <w:rPr>
          <w:rFonts w:ascii="Arial" w:hAnsi="Arial"/>
          <w:color w:val="0B7A75"/>
        </w:rPr>
        <w:t>Cláusula 13ª — Limitação de Responsabilidade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13.1. A FNI não se responsabiliza por: decisões baseadas nas análises; imprecisões nos dados ANP; danos por uso indevido; interrupções por force majeure.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13.2. Responsabilidade total limitada ao valor pago nos últimos 3 meses de assinatura.</w:t>
      </w:r>
    </w:p>
    <w:p>
      <w:pPr>
        <w:pStyle w:val="Heading2"/>
      </w:pPr>
      <w:r>
        <w:rPr>
          <w:rFonts w:ascii="Arial" w:hAnsi="Arial"/>
          <w:color w:val="0B7A75"/>
        </w:rPr>
        <w:t>Cláusula 14ª — Vigência, Rescisão e Foro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14.1. Entra em vigor na data de adesão e permanece ativo enquanto a assinatura estiver vigente.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14.2. Rescisão pelo CLIENTE: a qualquer momento com 5 dias de antecedência, sem multa.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14.3. Foro: Comarca de São Paulo/SP.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A6B"/>
        </w:rPr>
        <w:t>ASSINATURAS</w:t>
      </w:r>
    </w:p>
    <w:p>
      <w:pPr>
        <w:jc w:val="both"/>
      </w:pPr>
      <w:r>
        <w:rPr>
          <w:rFonts w:ascii="Arial" w:hAnsi="Arial"/>
          <w:b w:val="0"/>
          <w:i/>
          <w:sz w:val="22"/>
        </w:rPr>
        <w:t>A adesão eletrônica mediante clique em 'Aceito os Termos de Adesão' tem plena validade jurídica nos termos da MP nº 2.200-2/2001 e da Lei nº 14.063/2020.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FLEET NETWORK INTELLIGENCE LTDA.</w:t>
              <w:br/>
              <w:t>CONTRATADA — FNI</w:t>
              <w:br/>
              <w:br/>
              <w:br/>
              <w:t>Assinatura: ___________________________</w:t>
            </w:r>
          </w:p>
        </w:tc>
        <w:tc>
          <w:tcPr>
            <w:tcW w:type="dxa" w:w="4320"/>
          </w:tcPr>
          <w:p>
            <w:r>
              <w:t>CONTRATANTE</w:t>
              <w:br/>
              <w:br/>
              <w:t>Nome: ___________________________</w:t>
              <w:br/>
              <w:t>CPF/CNPJ: _______________________</w:t>
              <w:br/>
              <w:t>Assinatura: ______________________</w:t>
            </w:r>
          </w:p>
        </w:tc>
      </w:tr>
      <w:tr>
        <w:tc>
          <w:tcPr>
            <w:tcW w:type="dxa" w:w="4320"/>
          </w:tcPr>
          <w:p>
            <w:r>
              <w:t>Testemunha 1</w:t>
              <w:br/>
              <w:t>Nome: ___________________________</w:t>
              <w:br/>
              <w:t>CPF: ____________________________</w:t>
            </w:r>
          </w:p>
        </w:tc>
        <w:tc>
          <w:tcPr>
            <w:tcW w:type="dxa" w:w="4320"/>
          </w:tcPr>
          <w:p>
            <w:r>
              <w:t>Testemunha 2</w:t>
              <w:br/>
              <w:t>Nome: ___________________________</w:t>
              <w:br/>
              <w:t>CPF: ____________________________</w:t>
            </w:r>
          </w:p>
        </w:tc>
      </w:tr>
      <w:tr>
        <w:tc>
          <w:tcPr>
            <w:tcW w:type="dxa" w:w="8640"/>
            <w:gridSpan w:val="2"/>
          </w:tcPr>
          <w:p>
            <w:pPr>
              <w:jc w:val="center"/>
            </w:pPr>
            <w:r>
              <w:t>São Paulo, 11/06/2026  |  fxgestaodefrotasonline.com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