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Benchmark competitivo</w:t>
      </w:r>
    </w:p>
    <w:p>
      <w:pPr>
        <w:spacing w:after="40"/>
      </w:pPr>
      <w:r>
        <w:rPr>
          <w:color w:val="2E5395"/>
          <w:sz w:val="30"/>
          <w:szCs w:val="30"/>
        </w:rPr>
        <w:t xml:space="preserve">TicketLog / Edenred Mobilidade  ×  Gestão de Frotas</w:t>
      </w:r>
    </w:p>
    <w:p>
      <w:pPr>
        <w:spacing w:after="320"/>
      </w:pPr>
      <w:r>
        <w:rPr>
          <w:i/>
          <w:iCs/>
          <w:color w:val="555555"/>
          <w:sz w:val="20"/>
          <w:szCs w:val="20"/>
        </w:rPr>
        <w:t xml:space="preserve">Preparado para Daniel Peruffo · Julho de 2026</w:t>
      </w:r>
    </w:p>
    <w:p>
      <w:pPr>
        <w:pStyle w:val="Heading1"/>
        <w:spacing w:after="160" w:before="360"/>
      </w:pPr>
      <w:r>
        <w:t xml:space="preserve">Resumo executivo</w:t>
      </w:r>
    </w:p>
    <w:p>
      <w:pPr>
        <w:spacing w:after="160"/>
      </w:pPr>
      <w:r>
        <w:t xml:space="preserve">A TicketLog (marca da Edenred Mobilidade) é hoje a maior operadora de cartão-combustível e gestão de frotas do Brasil, com um portfólio amplo que vai muito além do abastecimento: manutenção, pedágio, frete/CIOT, telemetria, multas e um motor de inteligência artificial (o "TED") que não só detecta oportunidades como executa ações automaticamente. Nossa plataforma já cobre com solidez o núcleo de abastecimento — e em alguns pontos vai além do que a TicketLog oferece, principalmente por sermos agnósticos de provedor de pagamento e por termos antifraude preventivo e fidelidade do motorista individual.</w:t>
      </w:r>
    </w:p>
    <w:p>
      <w:pPr>
        <w:spacing w:after="160"/>
      </w:pPr>
      <w:r>
        <w:t xml:space="preserve">O maior gap não é de dados — é de ação. Hoje detectamos quase tudo que o TED detecta, mas paramos no alerta; a TicketLog fecha o ciclo até a execução automática. Esse é o ponto de maior retorno para priorizar. Depois dele, os gaps mais claros são: telemetria/rastreamento, gestão de multas, rede de oficinas credenciadas e gestão de pedágio — todos módulos que a TicketLog constrói via parceria/aquisição (Repom, Taggy, GoodManager), não do zero.</w:t>
      </w:r>
    </w:p>
    <w:p>
      <w:pPr>
        <w:pStyle w:val="Heading1"/>
        <w:spacing w:after="160" w:before="360"/>
      </w:pPr>
      <w:r>
        <w:t xml:space="preserve">Panorama da TicketLog / Edenred Mobilidade</w:t>
      </w:r>
    </w:p>
    <w:p>
      <w:pPr>
        <w:spacing w:after="160"/>
      </w:pPr>
      <w:r>
        <w:t xml:space="preserve">O grupo Edenred reúne várias marcas sob o guarda-chuva "Edenred Mobilidade", cada uma cobrindo uma frente: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Ticket Fleet / Vale Combustível: </w:t>
      </w:r>
      <w:r>
        <w:t xml:space="preserve">cartão com regras de uso (dia/horário, preço, litros, tipo de combustível) e painel com mais de 30 parâmetros de controle.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TED: </w:t>
      </w:r>
      <w:r>
        <w:t xml:space="preserve">inteligência artificial que analisa a operação, identifica oportunidades, quantifica o impacto financeiro, recomenda ações e as executa automaticamente após aceite do gestor (economia média informada: acima de R$ 3.000/mês por cliente com o plano PRO).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Gestão de Manutenção: </w:t>
      </w:r>
      <w:r>
        <w:t xml:space="preserve">rede credenciada de +30 mil oficinas (95% de cobertura nacional), preventivas com alerta automático, checklist digital com fotos, negociação automatizada de preço e opção de equipe terceirizada cuidando de toda a jornada.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Gestão de Pedágio e Vale Pedágio: </w:t>
      </w:r>
      <w:r>
        <w:t xml:space="preserve">tag própria e pagamento avulso de pedágio/estacionamento em uma única plataforma.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Gestão de Frete (com a Repom): </w:t>
      </w:r>
      <w:r>
        <w:t xml:space="preserve">emissão obrigatória de CIOT (Resolução ANTT 6.078), adiantamento via agenda financeira, pagamento pós-pago, antecipação de recebíveis e integração via API com ERP/TMS — escala de 8 milhões de transações de frete/pedágio por ano e 1 milhão de caminhoneiros atendidos.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Edenred GoHub: </w:t>
      </w:r>
      <w:r>
        <w:t xml:space="preserve">hub único de "visão 360": telemetria (localização, velocidade, geofencing), gestão de multas ponta a ponta e metas configuráveis por motorista/veículo.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Ticket Car / Ticket Cargo: </w:t>
      </w:r>
      <w:r>
        <w:t xml:space="preserve">cartão de mobilidade urbana ampla para o colaborador (táxi, bike, estacionamento) e solução de planejamento de viagem por posto mais barato na rota para frotas de caminhão.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Apps: </w:t>
      </w:r>
      <w:r>
        <w:t xml:space="preserve">"Minha Mobilidade" (motorista, abastece só com celular) e "Sou Log+" (gestor, mobile).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IPTL, Move for Good e Simplifica Fiscal: </w:t>
      </w:r>
      <w:r>
        <w:t xml:space="preserve">índice público de preço de combustível, compensação de carbono e automação de obrigações fiscais.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Escala declarada: mais de 2 mil clientes, mais de 520 mil veículos, mais de 12 mil postos credenciados para abastecimento, mais de 30 mil oficinas credenciadas e mais de R$ 80 milhões em redução de custos entregue aos clientes em 2024.</w:t>
      </w:r>
    </w:p>
    <w:p>
      <w:pPr>
        <w:pStyle w:val="Heading1"/>
        <w:spacing w:after="160" w:before="360"/>
      </w:pPr>
      <w:r>
        <w:t xml:space="preserve">Comparativo funcionalidade a funcionalidade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600"/>
        <w:gridCol w:w="17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TicketLog / Edenred Mobilidade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Gestão de Frotas (nossa solução)</w:t>
            </w:r>
          </w:p>
        </w:tc>
        <w:tc>
          <w:tcPr>
            <w:tcW w:type="dxa" w:w="1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Situação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Meios de pagamento de combustível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Cartão próprio (Ticket Fleet/Ticket Car), fechado na bandeira Edenred/Ticket Log.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Multiprovedor simultâneo: Pró-Frotas, TicketLog, Rede Frota, Veloe e Valecard na mesma tela, mesmo indicador.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7A40"/>
              </w:rPr>
              <w:t xml:space="preserve">Nós à frente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Antifraude / autorização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TED analisa DEPOIS e aponta transações negadas de alto risco.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Verificação preventiva via API, decide ANTES de autorizar a transação de terceiros.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7A40"/>
              </w:rPr>
              <w:t xml:space="preserve">Nós à frente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IA de otimização de abastecimento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TED: analisa, identifica oportunidade, quantifica impacto, RECOMENDA e EXECUTA automaticamente após aceite (bloqueia posto caro, ajusta limite de cartão, corrige hodômetro, bloqueia CNH vencida, negocia desconto por e-mail).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Inteligência de Rede: mesmos dados e alertas (gap de cobertura, preço vs. ANP, anomalias), mas sem camada de execução automática.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2A2A"/>
              </w:rPr>
              <w:t xml:space="preserve">Gap prioritário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Gestão de manutenção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Rede credenciada nacional (+30 mil oficinas, 95% do país), preventivas com alerta automático, checklist digital com fotos, orçamento negociado pela plataforma, opção de equipe terceirizada cuidando de tudo.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Manutenção Preditiva: alertas por uso/tempo. Sem rede de oficinas credenciada própria nem checklist digital com evidência fotográfica.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25E00"/>
              </w:rPr>
              <w:t xml:space="preserve">Gap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Telemetria / rastreamento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GoHub integra telemetria: localização, excesso de velocidade, geofencing (cerca virtual), metas por motorista/veículo.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temos rastreamento veicular em tempo real nem geofencing.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B02A2A"/>
              </w:rPr>
              <w:t xml:space="preserve">Gap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Gestão de multas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GoHub cobre o ciclo completo: alerta, indicação do condutor infrator, histórico, desconto por pagamento antecipado, prevenção de remulta.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existe módulo de multas hoje.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25E00"/>
              </w:rPr>
              <w:t xml:space="preserve">Gap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Pedágio e estacionamento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Gestão de Pedágio (tag própria) + Vale Pedágio avulso, tudo na mesma plataforma.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temos gestão de pedágio/estacionamento.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25E00"/>
              </w:rPr>
              <w:t xml:space="preserve">Gap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Gestão de frete / CIOT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Fusão com a Repom: CIOT obrigatório (Resolução ANTT 6.078), adiantamento via agenda financeira, pós-pago, antecipação de recebíveis, documentos digitais, integração via API com ERP/TMS.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Módulo de Fretes com CIOT e CT-e nativos, adiantamento 30/70 e Motoristas Parceiros.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E5395"/>
              </w:rPr>
              <w:t xml:space="preserve">Equivalente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Fidelidade do motorista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Cashback/prêmios para o transportador contratado no frete; sem catálogo de resgate para o motorista individual.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Programa "Estrada que Cuida": catálogo de resgate próprio para o motorista, com PWA dedicado.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7A40"/>
              </w:rPr>
              <w:t xml:space="preserve">Nós à frente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App do motorista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Minha Mobilidade: abastecer via celular sem cartão físico, comparar preços, extrato.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PWA Motorista com saldo, cota, indicadores de km/L e financeiro. Ainda sem abastecer só com QR/celular.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25E00"/>
              </w:rPr>
              <w:t xml:space="preserve">Gap pontual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Índice público de preço de combustível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IPTL: página pública com a média nacional de preços, usada como ferramenta de marca/SEO.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Temos os dados (ANP + rede própria) mas não publicamos um índice equivalente.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25E00"/>
              </w:rPr>
              <w:t xml:space="preserve">Gap fácil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Sustentabilidade / carbono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"Move for Good": compensação de carbono integrada à mobilidade.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existe hoje.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25E00"/>
              </w:rPr>
              <w:t xml:space="preserve">Gap (longo prazo)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Obrigações fiscais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"Simplifica Fiscal": automação ampla de obrigações fiscais da operação.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Notas Fiscais cobre XML por abastecimento e % de recolha, mas não obrigações fiscais amplas.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25E00"/>
              </w:rPr>
              <w:t xml:space="preserve">Gap parcial</w:t>
            </w:r>
          </w:p>
        </w:tc>
      </w:tr>
    </w:tbl>
    <w:p>
      <w:pPr>
        <w:pStyle w:val="Heading1"/>
        <w:spacing w:after="160" w:before="360"/>
      </w:pPr>
      <w:r>
        <w:t xml:space="preserve">Onde já estamos à frente</w:t>
      </w:r>
    </w:p>
    <w:p>
      <w:pPr>
        <w:spacing w:after="160"/>
      </w:pPr>
      <w:r>
        <w:t xml:space="preserve">Vale reforçar isso antes da lista de gaps: o benchmark não é só "o que copiar" — são pontos que já podem virar argumento comercial hoje.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Multiprovedor de verdade: </w:t>
      </w:r>
      <w:r>
        <w:t xml:space="preserve">A TicketLog vende o próprio cartão; o cliente que já usa vários meios de pagamento fica sem visão única. Nós unificamos Pró-Frotas, TicketLog, Rede Frota, Veloe e Valecard num só painel — inclusive a própria TicketLog vira só mais um provedor dentro da nossa plataforma.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Antifraude preventivo via API: </w:t>
      </w:r>
      <w:r>
        <w:t xml:space="preserve">O TED da TicketLog aponta transações de alto risco depois de acontecerem. Nossa verificação roda antes da autorização, no ato da transação.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Fidelidade do motorista individual: </w:t>
      </w:r>
      <w:r>
        <w:t xml:space="preserve">"Estrada que Cuida" endereça o motorista como usuário final, com PWA e catálogo de resgate próprio — a TicketLog trata fidelidade só no nível do transportador contratante.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Dados de rede próprios e auditáveis: </w:t>
      </w:r>
      <w:r>
        <w:t xml:space="preserve">Inteligência de Rede já cruza demanda real (todos os provedores) com cobertura da rede própria de postos, incluindo fallback para a base nacional da ANP quando o posto não é da rede do cliente — dado rico, só falta a camada de ação automática (ver seção de oportunidades).</w:t>
      </w:r>
    </w:p>
    <w:p>
      <w:pPr>
        <w:pStyle w:val="Heading1"/>
        <w:spacing w:after="160" w:before="360"/>
      </w:pPr>
      <w:r>
        <w:t xml:space="preserve">Oportunidades priorizadas</w:t>
      </w:r>
    </w:p>
    <w:p>
      <w:pPr>
        <w:spacing w:after="160"/>
      </w:pPr>
      <w:r>
        <w:t xml:space="preserve">Organizadas por retorno esperado × esforço, considerando o que já existe no nosso stack (Next.js + Supabase) hoje.</w:t>
      </w:r>
    </w:p>
    <w:p>
      <w:pPr>
        <w:pStyle w:val="Heading2"/>
        <w:spacing w:after="120" w:before="280"/>
      </w:pPr>
      <w:r>
        <w:t xml:space="preserve">Alta prioridade — maior retorno com o que já temos</w:t>
      </w:r>
    </w:p>
    <w:p>
      <w:pPr>
        <w:spacing w:after="60" w:before="200"/>
      </w:pPr>
      <w:r>
        <w:rPr>
          <w:b/>
          <w:bCs/>
          <w:color w:val="B02A2A"/>
        </w:rPr>
        <w:t xml:space="preserve">●  </w:t>
      </w:r>
      <w:r>
        <w:rPr>
          <w:b/>
          <w:bCs/>
          <w:sz w:val="24"/>
          <w:szCs w:val="24"/>
        </w:rPr>
        <w:t xml:space="preserve">1. Motor de ação automática sobre os alertas que já existem</w:t>
      </w:r>
    </w:p>
    <w:p>
      <w:pPr>
        <w:spacing w:after="60"/>
      </w:pPr>
      <w:r>
        <w:t xml:space="preserve">Hoje detectamos quase tudo que o TED detecta (anomalias, preço fora da faixa, CNH vencida, hodômetro incoerente, motorista sem uso, posto mais caro da região) — mas paramos na notificação. O maior gap estratégico é fechar o ciclo: sugestão → aprovação do gestor (ou regra automática, se ele preferir) → execução (bloquear cartão, remover posto caro da rede negociada, ajustar limite, notificar motorista).</w:t>
      </w:r>
    </w:p>
    <w:p>
      <w:pPr>
        <w:spacing w:after="160"/>
      </w:pPr>
      <w:r>
        <w:rPr>
          <w:b/>
          <w:bCs/>
          <w:i/>
          <w:iCs/>
        </w:rPr>
        <w:t xml:space="preserve">Viabilidade no nosso stack: </w:t>
      </w:r>
      <w:r>
        <w:rPr>
          <w:i/>
          <w:iCs/>
        </w:rPr>
        <w:t xml:space="preserve">Alta. A camada de detecção já existe (Anomalias, Antifraude, Inteligência de Rede); falta um módulo de "ações sugeridas" com fila de aprovação e um mecanismo de execução (ex.: chamar a API do provedor para bloquear o cartão, atualizar postos_gf).</w:t>
      </w:r>
    </w:p>
    <w:p>
      <w:pPr>
        <w:spacing w:after="60" w:before="200"/>
      </w:pPr>
      <w:r>
        <w:rPr>
          <w:b/>
          <w:bCs/>
          <w:color w:val="B02A2A"/>
        </w:rPr>
        <w:t xml:space="preserve">●  </w:t>
      </w:r>
      <w:r>
        <w:rPr>
          <w:b/>
          <w:bCs/>
          <w:sz w:val="24"/>
          <w:szCs w:val="24"/>
        </w:rPr>
        <w:t xml:space="preserve">2. Checklist digital de manutenção com evidência fotográfica</w:t>
      </w:r>
    </w:p>
    <w:p>
      <w:pPr>
        <w:spacing w:after="60"/>
      </w:pPr>
      <w:r>
        <w:t xml:space="preserve">A TicketLog usa isso como argumento de compliance ("disponibilidade do checklist em tempo real" foi citado por um cliente como principal benefício). É uma melhoria incremental sobre a Manutenção Preditiva que já temos.</w:t>
      </w:r>
    </w:p>
    <w:p>
      <w:pPr>
        <w:spacing w:after="160"/>
      </w:pPr>
      <w:r>
        <w:rPr>
          <w:b/>
          <w:bCs/>
          <w:i/>
          <w:iCs/>
        </w:rPr>
        <w:t xml:space="preserve">Viabilidade no nosso stack: </w:t>
      </w:r>
      <w:r>
        <w:rPr>
          <w:i/>
          <w:iCs/>
        </w:rPr>
        <w:t xml:space="preserve">Alta. Extensão natural do módulo existente: novo formulário de checklist + upload de fotos (já usamos esse padrão em Notas Fiscais/Documentos).</w:t>
      </w:r>
    </w:p>
    <w:p>
      <w:pPr>
        <w:spacing w:after="60" w:before="200"/>
      </w:pPr>
      <w:r>
        <w:rPr>
          <w:b/>
          <w:bCs/>
          <w:color w:val="B02A2A"/>
        </w:rPr>
        <w:t xml:space="preserve">●  </w:t>
      </w:r>
      <w:r>
        <w:rPr>
          <w:b/>
          <w:bCs/>
          <w:sz w:val="24"/>
          <w:szCs w:val="24"/>
        </w:rPr>
        <w:t xml:space="preserve">3. Índice público de preço de combustível</w:t>
      </w:r>
    </w:p>
    <w:p>
      <w:pPr>
        <w:spacing w:after="60"/>
      </w:pPr>
      <w:r>
        <w:t xml:space="preserve">A IPTL da TicketLog é basicamente uma página pública alimentada pelos dados que eles já têm. Nós também já cruzamos preço por UF/combustível via ANP e rede própria (Inteligência de Rede) — falta só publicar uma versão agregada e anônima como página institucional/marketing.</w:t>
      </w:r>
    </w:p>
    <w:p>
      <w:pPr>
        <w:spacing w:after="160"/>
      </w:pPr>
      <w:r>
        <w:rPr>
          <w:b/>
          <w:bCs/>
          <w:i/>
          <w:iCs/>
        </w:rPr>
        <w:t xml:space="preserve">Viabilidade no nosso stack: </w:t>
      </w:r>
      <w:r>
        <w:rPr>
          <w:i/>
          <w:iCs/>
        </w:rPr>
        <w:t xml:space="preserve">Alta. Os dados e RPCs já existem (preco_medio_por_combustivel_uf etc.); o trabalho é essencialmente uma página pública nova.</w:t>
      </w:r>
    </w:p>
    <w:p>
      <w:pPr>
        <w:pStyle w:val="Heading2"/>
        <w:spacing w:after="120" w:before="280"/>
      </w:pPr>
      <w:r>
        <w:t xml:space="preserve">Média prioridade</w:t>
      </w:r>
    </w:p>
    <w:p>
      <w:pPr>
        <w:spacing w:after="60" w:before="200"/>
      </w:pPr>
      <w:r>
        <w:rPr>
          <w:b/>
          <w:bCs/>
          <w:color w:val="C25E00"/>
        </w:rPr>
        <w:t xml:space="preserve">●  </w:t>
      </w:r>
      <w:r>
        <w:rPr>
          <w:b/>
          <w:bCs/>
          <w:sz w:val="24"/>
          <w:szCs w:val="24"/>
        </w:rPr>
        <w:t xml:space="preserve">4. Gestão de multas</w:t>
      </w:r>
    </w:p>
    <w:p>
      <w:pPr>
        <w:spacing w:after="60"/>
      </w:pPr>
      <w:r>
        <w:t xml:space="preserve">Ciclo completo: captura do alerta, indicação do condutor infrator, histórico por motorista/veículo, alerta de prazo para desconto de pagamento antecipado. Cadastros de Veículos/Motoristas já existem como base.</w:t>
      </w:r>
    </w:p>
    <w:p>
      <w:pPr>
        <w:spacing w:after="160"/>
      </w:pPr>
      <w:r>
        <w:rPr>
          <w:b/>
          <w:bCs/>
          <w:i/>
          <w:iCs/>
        </w:rPr>
        <w:t xml:space="preserve">Viabilidade no nosso stack: </w:t>
      </w:r>
      <w:r>
        <w:rPr>
          <w:i/>
          <w:iCs/>
        </w:rPr>
        <w:t xml:space="preserve">Média. Depende de integração com fontes externas (Detran/Renainf) ou upload manual como primeira versão; o módulo de indicação de condutor pode reaproveitar o vínculo Motorista↔Veículo que já existe em Parâmetros de Uso.</w:t>
      </w:r>
    </w:p>
    <w:p>
      <w:pPr>
        <w:spacing w:after="60" w:before="200"/>
      </w:pPr>
      <w:r>
        <w:rPr>
          <w:b/>
          <w:bCs/>
          <w:color w:val="C25E00"/>
        </w:rPr>
        <w:t xml:space="preserve">●  </w:t>
      </w:r>
      <w:r>
        <w:rPr>
          <w:b/>
          <w:bCs/>
          <w:sz w:val="24"/>
          <w:szCs w:val="24"/>
        </w:rPr>
        <w:t xml:space="preserve">5. Rede de oficinas credenciadas com orçamento</w:t>
      </w:r>
    </w:p>
    <w:p>
      <w:pPr>
        <w:spacing w:after="60"/>
      </w:pPr>
      <w:r>
        <w:t xml:space="preserve">Hoje prevemos a manutenção, mas não conectamos o cliente a uma rede de oficinas com cotação automatizada. É mais parceria comercial do que código, mas o cadastro básico (oficina, especialidade, região, avaliação) e um fluxo simples de cotação já entram no roadmap técnico.</w:t>
      </w:r>
    </w:p>
    <w:p>
      <w:pPr>
        <w:spacing w:after="160"/>
      </w:pPr>
      <w:r>
        <w:rPr>
          <w:b/>
          <w:bCs/>
          <w:i/>
          <w:iCs/>
        </w:rPr>
        <w:t xml:space="preserve">Viabilidade no nosso stack: </w:t>
      </w:r>
      <w:r>
        <w:rPr>
          <w:i/>
          <w:iCs/>
        </w:rPr>
        <w:t xml:space="preserve">Média. Reaproveita o padrão de cadastro de Postos Revendedores; o desafio maior é comercial (credenciar oficinas), não técnico.</w:t>
      </w:r>
    </w:p>
    <w:p>
      <w:pPr>
        <w:spacing w:after="60" w:before="200"/>
      </w:pPr>
      <w:r>
        <w:rPr>
          <w:b/>
          <w:bCs/>
          <w:color w:val="C25E00"/>
        </w:rPr>
        <w:t xml:space="preserve">●  </w:t>
      </w:r>
      <w:r>
        <w:rPr>
          <w:b/>
          <w:bCs/>
          <w:sz w:val="24"/>
          <w:szCs w:val="24"/>
        </w:rPr>
        <w:t xml:space="preserve">6. Comparador "combustível ideal" por região</w:t>
      </w:r>
    </w:p>
    <w:p>
      <w:pPr>
        <w:spacing w:after="60"/>
      </w:pPr>
      <w:r>
        <w:t xml:space="preserve">Etanol ou gasolina, conforme o rendimento do veículo e o preço vigente na região — feature pequena, alto valor percebido, e os dados de preço por combustível/UF já estão na Inteligência de Rede.</w:t>
      </w:r>
    </w:p>
    <w:p>
      <w:pPr>
        <w:spacing w:after="160"/>
      </w:pPr>
      <w:r>
        <w:rPr>
          <w:b/>
          <w:bCs/>
          <w:i/>
          <w:iCs/>
        </w:rPr>
        <w:t xml:space="preserve">Viabilidade no nosso stack: </w:t>
      </w:r>
      <w:r>
        <w:rPr>
          <w:i/>
          <w:iCs/>
        </w:rPr>
        <w:t xml:space="preserve">Alta viabilidade técnica, mas priorizada como média por ser um indicador a mais (não resolve um gap estrutural).</w:t>
      </w:r>
    </w:p>
    <w:p>
      <w:pPr>
        <w:spacing w:after="60" w:before="200"/>
      </w:pPr>
      <w:r>
        <w:rPr>
          <w:b/>
          <w:bCs/>
          <w:color w:val="C25E00"/>
        </w:rPr>
        <w:t xml:space="preserve">●  </w:t>
      </w:r>
      <w:r>
        <w:rPr>
          <w:b/>
          <w:bCs/>
          <w:sz w:val="24"/>
          <w:szCs w:val="24"/>
        </w:rPr>
        <w:t xml:space="preserve">7. Pagamento no posto via QR code/celular, sem cartão físico</w:t>
      </w:r>
    </w:p>
    <w:p>
      <w:pPr>
        <w:spacing w:after="60"/>
      </w:pPr>
      <w:r>
        <w:t xml:space="preserve">O App Minha Mobilidade permite abastecer só com o celular. Nosso PWA Motorista já mostra saldo/cota; falta o fluxo de pagamento em si — que depende de cada provedor integrado suportar essa modalidade via API.</w:t>
      </w:r>
    </w:p>
    <w:p>
      <w:pPr>
        <w:spacing w:after="160"/>
      </w:pPr>
      <w:r>
        <w:rPr>
          <w:b/>
          <w:bCs/>
          <w:i/>
          <w:iCs/>
        </w:rPr>
        <w:t xml:space="preserve">Viabilidade no nosso stack: </w:t>
      </w:r>
      <w:r>
        <w:rPr>
          <w:i/>
          <w:iCs/>
        </w:rPr>
        <w:t xml:space="preserve">Média. Depende da capacidade de cada provedor (Pró-Frotas, TicketLog etc.) expor esse fluxo via API — validar caso a caso antes de priorizar.</w:t>
      </w:r>
    </w:p>
    <w:p>
      <w:pPr>
        <w:pStyle w:val="Heading2"/>
        <w:spacing w:after="120" w:before="280"/>
      </w:pPr>
      <w:r>
        <w:t xml:space="preserve">Baixa prioridade / depende de parceria externa</w:t>
      </w:r>
    </w:p>
    <w:p>
      <w:pPr>
        <w:spacing w:after="60" w:before="200"/>
      </w:pPr>
      <w:r>
        <w:rPr>
          <w:b/>
          <w:bCs/>
          <w:color w:val="C25E00"/>
        </w:rPr>
        <w:t xml:space="preserve">●  </w:t>
      </w:r>
      <w:r>
        <w:rPr>
          <w:b/>
          <w:bCs/>
          <w:sz w:val="24"/>
          <w:szCs w:val="24"/>
        </w:rPr>
        <w:t xml:space="preserve">8. Telemetria veicular e geofencing</w:t>
      </w:r>
    </w:p>
    <w:p>
      <w:pPr>
        <w:spacing w:after="60"/>
      </w:pPr>
      <w:r>
        <w:t xml:space="preserve">Rastreamento em tempo real, excesso de velocidade e cerca virtual exigem hardware (rastreador/OBD) na frota do cliente, não só software — normalmente resolvido via parceria com um fornecedor de telemetria já instalado, com nossa plataforma consumindo os dados via API.</w:t>
      </w:r>
    </w:p>
    <w:p>
      <w:pPr>
        <w:spacing w:after="160"/>
      </w:pPr>
      <w:r>
        <w:rPr>
          <w:b/>
          <w:bCs/>
          <w:i/>
          <w:iCs/>
        </w:rPr>
        <w:t xml:space="preserve">Viabilidade no nosso stack: </w:t>
      </w:r>
      <w:r>
        <w:rPr>
          <w:i/>
          <w:iCs/>
        </w:rPr>
        <w:t xml:space="preserve">Baixa/estratégica. Não é código nosso primeiro — é decisão de parceria (build vs. buy) antes de qualquer desenvolvimento.</w:t>
      </w:r>
    </w:p>
    <w:p>
      <w:pPr>
        <w:spacing w:after="60" w:before="200"/>
      </w:pPr>
      <w:r>
        <w:rPr>
          <w:b/>
          <w:bCs/>
          <w:color w:val="C25E00"/>
        </w:rPr>
        <w:t xml:space="preserve">●  </w:t>
      </w:r>
      <w:r>
        <w:rPr>
          <w:b/>
          <w:bCs/>
          <w:sz w:val="24"/>
          <w:szCs w:val="24"/>
        </w:rPr>
        <w:t xml:space="preserve">9. Gestão de pedágio e estacionamento</w:t>
      </w:r>
    </w:p>
    <w:p>
      <w:pPr>
        <w:spacing w:after="60"/>
      </w:pPr>
      <w:r>
        <w:t xml:space="preserve">Também depende de parceria com operador de tag (ex.: Veloe, que já é um dos nossos provedores de abastecimento, também atua em pedágio).</w:t>
      </w:r>
    </w:p>
    <w:p>
      <w:pPr>
        <w:spacing w:after="160"/>
      </w:pPr>
      <w:r>
        <w:rPr>
          <w:b/>
          <w:bCs/>
          <w:i/>
          <w:iCs/>
        </w:rPr>
        <w:t xml:space="preserve">Viabilidade no nosso stack: </w:t>
      </w:r>
      <w:r>
        <w:rPr>
          <w:i/>
          <w:iCs/>
        </w:rPr>
        <w:t xml:space="preserve">Baixa/estratégica. Caminho natural seria estender a integração com um provedor que já está na nossa lista (Veloe) para cobrir pedágio também.</w:t>
      </w:r>
    </w:p>
    <w:p>
      <w:pPr>
        <w:spacing w:after="60" w:before="200"/>
      </w:pPr>
      <w:r>
        <w:rPr>
          <w:b/>
          <w:bCs/>
          <w:color w:val="C25E00"/>
        </w:rPr>
        <w:t xml:space="preserve">●  </w:t>
      </w:r>
      <w:r>
        <w:rPr>
          <w:b/>
          <w:bCs/>
          <w:sz w:val="24"/>
          <w:szCs w:val="24"/>
        </w:rPr>
        <w:t xml:space="preserve">10. Sustentabilidade / pegada de carbono</w:t>
      </w:r>
    </w:p>
    <w:p>
      <w:pPr>
        <w:spacing w:after="60"/>
      </w:pPr>
      <w:r>
        <w:t xml:space="preserve">Tendência crescente em ESG corporativo. Poderíamos estimar emissões a partir do litros_total já registrado por abastecimento, sem precisar de nova fonte de dado.</w:t>
      </w:r>
    </w:p>
    <w:p>
      <w:pPr>
        <w:spacing w:after="160"/>
      </w:pPr>
      <w:r>
        <w:rPr>
          <w:b/>
          <w:bCs/>
          <w:i/>
          <w:iCs/>
        </w:rPr>
        <w:t xml:space="preserve">Viabilidade no nosso stack: </w:t>
      </w:r>
      <w:r>
        <w:rPr>
          <w:i/>
          <w:iCs/>
        </w:rPr>
        <w:t xml:space="preserve">Baixa agora, mas de baixo custo técnico quando priorizada — o dado-base (litros por combustível) já existe.</w:t>
      </w:r>
    </w:p>
    <w:p>
      <w:pPr>
        <w:pStyle w:val="Heading1"/>
        <w:spacing w:after="160" w:before="360"/>
      </w:pPr>
      <w:r>
        <w:t xml:space="preserve">Roadmap sugerido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Onda 1 (curto prazo): </w:t>
      </w:r>
      <w:r>
        <w:t xml:space="preserve">motor de ação automática sobre alertas existentes, checklist digital de manutenção, índice público de preço.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Onda 2 (médio prazo): </w:t>
      </w:r>
      <w:r>
        <w:t xml:space="preserve">gestão de multas (fase 1 manual/upload), rede de oficinas credenciadas, comparador de combustível ideal, avaliação técnica de pagamento via QR/celular por provedor.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Onda 3 (longo prazo / depende de parceria): </w:t>
      </w:r>
      <w:r>
        <w:t xml:space="preserve">telemetria e geofencing, gestão de pedágio (via Veloe, que já é nosso provedor), sustentabilidade/carbono.</w:t>
      </w:r>
    </w:p>
    <w:p>
      <w:pPr>
        <w:pStyle w:val="Heading1"/>
        <w:spacing w:after="160" w:before="360"/>
      </w:pPr>
      <w:r>
        <w:t xml:space="preserve">Fontes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qu7obtxg2bykum9ddb1kd">
        <w:r>
          <w:rPr>
            <w:rStyle w:val="Hyperlink"/>
            <w:color w:val="1155CC"/>
            <w:u w:val="single"/>
          </w:rPr>
          <w:t xml:space="preserve">Ticket Log — página institucional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nts4-zhecy5nm6msnrk-i">
        <w:r>
          <w:rPr>
            <w:rStyle w:val="Hyperlink"/>
            <w:color w:val="1155CC"/>
            <w:u w:val="single"/>
          </w:rPr>
          <w:t xml:space="preserve">Ticket Log — Gestão de Frotas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ijgx23bmggku9jlqhdwyn">
        <w:r>
          <w:rPr>
            <w:rStyle w:val="Hyperlink"/>
            <w:color w:val="1155CC"/>
            <w:u w:val="single"/>
          </w:rPr>
          <w:t xml:space="preserve">TED — Inteligência Artificial na Gestão de Frotas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jl4q740kemzpvgpqqfwzn">
        <w:r>
          <w:rPr>
            <w:rStyle w:val="Hyperlink"/>
            <w:color w:val="1155CC"/>
            <w:u w:val="single"/>
          </w:rPr>
          <w:t xml:space="preserve">Edenred Mobilidade — Gestão de Manutenção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xss_imoeznxpecsieugxp">
        <w:r>
          <w:rPr>
            <w:rStyle w:val="Hyperlink"/>
            <w:color w:val="1155CC"/>
            <w:u w:val="single"/>
          </w:rPr>
          <w:t xml:space="preserve">Edenred Mobilidade — Vale Combustível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r_8weybl8h786qn5yikhx">
        <w:r>
          <w:rPr>
            <w:rStyle w:val="Hyperlink"/>
            <w:color w:val="1155CC"/>
            <w:u w:val="single"/>
          </w:rPr>
          <w:t xml:space="preserve">Edenred Mobilidade — Edenred GoHub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esw-4vaogmcj73vrups-w">
        <w:r>
          <w:rPr>
            <w:rStyle w:val="Hyperlink"/>
            <w:color w:val="1155CC"/>
            <w:u w:val="single"/>
          </w:rPr>
          <w:t xml:space="preserve">Edenred Mobilidade — Gestão de Frete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395" w:sz="6" w:space="4"/>
      </w:pBdr>
      <w:spacing w:after="16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u7obtxg2bykum9ddb1kd" Type="http://schemas.openxmlformats.org/officeDocument/2006/relationships/hyperlink" Target="https://www.ticketlog.com.br/" TargetMode="External"/><Relationship Id="rIdnts4-zhecy5nm6msnrk-i" Type="http://schemas.openxmlformats.org/officeDocument/2006/relationships/hyperlink" Target="https://www.ticketlog.com.br/gestao-de-frotas/" TargetMode="External"/><Relationship Id="rIdijgx23bmggku9jlqhdwyn" Type="http://schemas.openxmlformats.org/officeDocument/2006/relationships/hyperlink" Target="https://www.ticketlog.com.br/inteligencia-artificial-na-gestao-de-frotas/" TargetMode="External"/><Relationship Id="rIdjl4q740kemzpvgpqqfwzn" Type="http://schemas.openxmlformats.org/officeDocument/2006/relationships/hyperlink" Target="https://www.edenredmobilidade.com.br/gestao-de-manutencao/" TargetMode="External"/><Relationship Id="rIdxss_imoeznxpecsieugxp" Type="http://schemas.openxmlformats.org/officeDocument/2006/relationships/hyperlink" Target="https://www.edenredmobilidade.com.br/vale-combustivel/" TargetMode="External"/><Relationship Id="rIdr_8weybl8h786qn5yikhx" Type="http://schemas.openxmlformats.org/officeDocument/2006/relationships/hyperlink" Target="https://www.edenredmobilidade.com.br/gestao-frotas-gohub/" TargetMode="External"/><Relationship Id="rIdesw-4vaogmcj73vrups-w" Type="http://schemas.openxmlformats.org/officeDocument/2006/relationships/hyperlink" Target="https://www.edenredmobilidade.com.br/gestao-frete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2026-07-20T16:24:45.978Z</dcterms:created>
  <dcterms:modified xsi:type="dcterms:W3CDTF">2026-07-20T16:24:45.978Z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