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1 — Power Query ingestion of raw transaction files (CSV/XLSX)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The engine uses a single input folder (parameter) to ingest firm-provided files as immutable source data.</w:t>
      </w:r>
    </w:p>
    <w:p>
      <w:pPr>
        <w:pStyle w:val="ListBullet"/>
      </w:pPr>
      <w:r>
        <w:t>Each source row is assigned a deterministic RawRowID (index) and carries file provenance fields (SourceFileName, SourceFilePath, SourceFileModified).</w:t>
      </w:r>
    </w:p>
    <w:p>
      <w:pPr>
        <w:pStyle w:val="ListBullet"/>
      </w:pPr>
      <w:r>
        <w:t>No downstream sheet is designed for manual edits; all transformations occur via Power Query and load into read-only tables.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