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2 — Row-level provenance (SourceFileName, RawRowID, hashes)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Files are cleaned without breaking provenance: header rows are detected, headers promoted, and a stable schema is enforced.</w:t>
      </w:r>
    </w:p>
    <w:p>
      <w:pPr>
        <w:pStyle w:val="ListBullet"/>
      </w:pPr>
      <w:r>
        <w:t>Text fields are trimmed, numeric fields coerced, and dates are parsed (including the common 'Trade/Settle' combined date format).</w:t>
      </w:r>
    </w:p>
    <w:p>
      <w:pPr>
        <w:pStyle w:val="ListBullet"/>
      </w:pPr>
      <w:r>
        <w:t>A normalized ledger schema is produced as the system-of-record for all downstream reports (single source of truth).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