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3 — Edge-case rules (stock dividends, income w/o cash, zero-dollar lines)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Transaction classification is entirely mapping-table driven, consistent with SOP requirements: no inference, no silent corrections.</w:t>
      </w:r>
    </w:p>
    <w:p>
      <w:pPr>
        <w:pStyle w:val="ListBullet"/>
      </w:pPr>
      <w:r>
        <w:t>MAP_TxnType controls NormalizedTxnType plus the rule codes used to compute CashDelta / UnitsDelta / CostDelta.</w:t>
      </w:r>
    </w:p>
    <w:p>
      <w:pPr>
        <w:pStyle w:val="ListBullet"/>
      </w:pPr>
      <w:r>
        <w:t>MAP_TaxCategory maps each NormalizedTxnType to tax categories used in income reporting.</w:t>
      </w:r>
    </w:p>
    <w:p>
      <w:pPr>
        <w:pStyle w:val="ListBullet"/>
      </w:pPr>
      <w:r>
        <w:t>Unmapped transactions are flagged as exceptions and remain visible until the mapping is updated and versioned.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