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4 — Transfer handling (internal vs external)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Average-cost ACB is computed per AccountID + SecurityID (+Currency) in the ACB_ENGINE query.</w:t>
      </w:r>
    </w:p>
    <w:p>
      <w:pPr>
        <w:pStyle w:val="ListBullet"/>
      </w:pPr>
      <w:r>
        <w:t>Sales remove cost using the running average cost at the moment of sale; realized gain/loss is computed explicitly.</w:t>
      </w:r>
    </w:p>
    <w:p>
      <w:pPr>
        <w:pStyle w:val="ListBullet"/>
      </w:pPr>
      <w:r>
        <w:t>Transfers are treated as non-taxable internal moves only when explicitly identified; otherwise they are flagged as exceptions.</w:t>
      </w:r>
    </w:p>
    <w:p>
      <w:pPr>
        <w:pStyle w:val="ListBullet"/>
      </w:pPr>
      <w:r>
        <w:t>FX handling is parameterized and disclosure-driven: executed/derived/estimated rate fields are included and missing FX triggers exceptions.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