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6 — Income by tax category (T5/T3-aligned)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Tax outputs are ledger-derived views: Capital gains, Income-by-category, ROC schedules, and FX schedules.</w:t>
      </w:r>
    </w:p>
    <w:p>
      <w:pPr>
        <w:pStyle w:val="ListBullet"/>
      </w:pPr>
      <w:r>
        <w:t>Cash &amp; Cost Summary provides the accountant bridge from raw transactions to bookable results.</w:t>
      </w:r>
    </w:p>
    <w:p>
      <w:pPr>
        <w:pStyle w:val="ListBullet"/>
      </w:pPr>
      <w:r>
        <w:t>Registered accounts are segregated from taxable reporting and aggregated separately.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