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Deliverable 1 — Account-Level Processing Workbook (Implementation Notes)</w:t>
      </w:r>
    </w:p>
    <w:p>
      <w:r>
        <w:rPr>
          <w:i/>
        </w:rPr>
        <w:t>Generated on 2026-01-09.</w:t>
      </w:r>
    </w:p>
    <w:p/>
    <w:p>
      <w:pPr>
        <w:pStyle w:val="Heading1"/>
      </w:pPr>
      <w:r>
        <w:t>What you receive</w:t>
      </w:r>
    </w:p>
    <w:p>
      <w:pPr>
        <w:pStyle w:val="ListBullet"/>
      </w:pPr>
      <w:r>
        <w:t>Excel template workbook: Deliverable1_Account_Processing_Workbook_TEMPLATE.xlsx (system of record for one account).</w:t>
      </w:r>
    </w:p>
    <w:p>
      <w:pPr>
        <w:pStyle w:val="ListBullet"/>
      </w:pPr>
      <w:r>
        <w:t>Power Query scripts (M code) in /PowerQuery_Code_Deliverable1/ that implement ingestion, normalization, mapping, ACB engine, and exception extraction.</w:t>
      </w:r>
    </w:p>
    <w:p/>
    <w:p>
      <w:pPr>
        <w:pStyle w:val="Heading1"/>
      </w:pPr>
      <w:r>
        <w:t>How it is implemented (by requirement)</w:t>
      </w:r>
    </w:p>
    <w:p>
      <w:pPr>
        <w:pStyle w:val="Heading2"/>
      </w:pPr>
      <w:r>
        <w:t>Power Query ingestion of firm-provided files (unaltered)</w:t>
      </w:r>
    </w:p>
    <w:p>
      <w:pPr>
        <w:pStyle w:val="ListBullet"/>
      </w:pPr>
      <w:r>
        <w:t>FolderPath is stored in CONTROL_LOG.tblControlLog and read by fnGetControlValue().</w:t>
      </w:r>
    </w:p>
    <w:p>
      <w:pPr>
        <w:pStyle w:val="ListBullet"/>
      </w:pPr>
      <w:r>
        <w:t>Ledger_Raw uses Folder.Files(FolderPath) to load every .csv and invokes fnLoadBMOTransactionCsv() without altering the original file content.</w:t>
      </w:r>
    </w:p>
    <w:p>
      <w:pPr>
        <w:pStyle w:val="ListBullet"/>
      </w:pPr>
      <w:r>
        <w:t>Provenance fields: SourceName (file name), RawRowNum (row index), FileId (name + modified timestamp).</w:t>
      </w:r>
    </w:p>
    <w:p>
      <w:pPr>
        <w:pStyle w:val="Heading2"/>
      </w:pPr>
      <w:r>
        <w:t>Normalized transaction ledger (one row per transaction event)</w:t>
      </w:r>
    </w:p>
    <w:p>
      <w:pPr>
        <w:pStyle w:val="ListBullet"/>
      </w:pPr>
      <w:r>
        <w:t>Ledger_Normalized renames columns to a stable schema, parses Trans/Value dates via fnParseTransValueDate(), and adds LedgerRowID = SourceName:RawRowNum.</w:t>
      </w:r>
    </w:p>
    <w:p>
      <w:pPr>
        <w:pStyle w:val="ListBullet"/>
      </w:pPr>
      <w:r>
        <w:t>SecurityKey is derived deterministically from CUSIP else Symbol (no inference beyond identifier fallback).</w:t>
      </w:r>
    </w:p>
    <w:p>
      <w:pPr>
        <w:pStyle w:val="Heading2"/>
      </w:pPr>
      <w:r>
        <w:t>Deterministic derived columns</w:t>
      </w:r>
    </w:p>
    <w:p>
      <w:pPr>
        <w:pStyle w:val="ListBullet"/>
      </w:pPr>
      <w:r>
        <w:t>Ledger_Derived applies mapping rules from MAP_TxnType.tblTxnTypeMap to produce TxnClass, IncomeType, ReturnType, TransferType.</w:t>
      </w:r>
    </w:p>
    <w:p>
      <w:pPr>
        <w:pStyle w:val="ListBullet"/>
      </w:pPr>
      <w:r>
        <w:t>CashDelta / UnitsDelta / CostDelta_Pre are derived rule-based and flagged as null when not derivable (fail-loud).</w:t>
      </w:r>
    </w:p>
    <w:p>
      <w:pPr>
        <w:pStyle w:val="ListBullet"/>
      </w:pPr>
      <w:r>
        <w:t>Period keys: PeriodMonth (yyyy-MM), PeriodQuarter (YYYY-Qn), PeriodYear.</w:t>
      </w:r>
    </w:p>
    <w:p>
      <w:pPr>
        <w:pStyle w:val="Heading2"/>
      </w:pPr>
      <w:r>
        <w:t>ACB engine (average cost) + realized gain/loss</w:t>
      </w:r>
    </w:p>
    <w:p>
      <w:pPr>
        <w:pStyle w:val="ListBullet"/>
      </w:pPr>
      <w:r>
        <w:t>ACB_ENGINE groups by Account + SecurityKey and applies List.Accumulate over sorted rows to compute RunningUnits, RunningACB, AvgCostPerUnit, CostRemoved and RealizedGainLoss on sales.</w:t>
      </w:r>
    </w:p>
    <w:p>
      <w:pPr>
        <w:pStyle w:val="ListBullet"/>
      </w:pPr>
      <w:r>
        <w:t>CostDelta is finalized as CostDelta_Pre for non-sales and -CostRemoved for sales (Canadian average-cost continuity).</w:t>
      </w:r>
    </w:p>
    <w:p>
      <w:pPr>
        <w:pStyle w:val="Heading2"/>
      </w:pPr>
      <w:r>
        <w:t>Exception handling (fail-loud)</w:t>
      </w:r>
    </w:p>
    <w:p>
      <w:pPr>
        <w:pStyle w:val="ListBullet"/>
      </w:pPr>
      <w:r>
        <w:t>EXCEPTIONS query filters the ledger to any row with critical or warning conditions (unmapped txn type, bad date parse, missing amounts, missing ACB for sale, missing ROC).</w:t>
      </w:r>
    </w:p>
    <w:p>
      <w:pPr>
        <w:pStyle w:val="ListBullet"/>
      </w:pPr>
      <w:r>
        <w:t>Severity levels follow Appendix B triage (Level 1 stop / Level 2 proceed with disclosure).</w:t>
      </w:r>
    </w:p>
    <w:p>
      <w:pPr>
        <w:pStyle w:val="ListBullet"/>
      </w:pPr>
      <w:r>
        <w:t>EXCEPTIONS_LOG sheet is the user-facing log (can be loaded from EXCEPTIONS query).</w:t>
      </w:r>
    </w:p>
    <w:p>
      <w:pPr>
        <w:pStyle w:val="Heading2"/>
      </w:pPr>
      <w:r>
        <w:t>Cash &amp; Cost Summary + core reports</w:t>
      </w:r>
    </w:p>
    <w:p>
      <w:pPr>
        <w:pStyle w:val="ListBullet"/>
      </w:pPr>
      <w:r>
        <w:t>Reports are implemented as pivot tables that reference the authoritative ledger table only (Appendix F).</w:t>
      </w:r>
    </w:p>
    <w:p>
      <w:pPr>
        <w:pStyle w:val="ListBullet"/>
      </w:pPr>
      <w:r>
        <w:t>Cash &amp; Cost Summary aggregates CashDelta, CostDelta, income by TaxCategory, realized gains, and ties opening→activity→closing per SOP and the Grant Thornton letter.</w:t>
      </w:r>
    </w:p>
    <w:p>
      <w:pPr>
        <w:pStyle w:val="Heading2"/>
      </w:pPr>
      <w:r>
        <w:t>Hard controls</w:t>
      </w:r>
    </w:p>
    <w:p>
      <w:pPr>
        <w:pStyle w:val="ListBullet"/>
      </w:pPr>
      <w:r>
        <w:t>Ledger tables are not manually edited; all fixes occur via mapping tables or overlays.</w:t>
      </w:r>
    </w:p>
    <w:p>
      <w:pPr>
        <w:pStyle w:val="ListBullet"/>
      </w:pPr>
      <w:r>
        <w:t>UNMAPPED classifications and non-derivable fields remain visible and block sign-off as required by SOP and Appendix J.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