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Deliverable 5 — Scribe Documentation (Implementation Notes)</w:t>
      </w:r>
    </w:p>
    <w:p>
      <w:r>
        <w:rPr>
          <w:i/>
        </w:rPr>
        <w:t>Generated on 2026-01-09.</w:t>
      </w:r>
    </w:p>
    <w:p/>
    <w:p>
      <w:pPr>
        <w:pStyle w:val="Heading1"/>
      </w:pPr>
      <w:r>
        <w:t>How it is implemented</w:t>
      </w:r>
    </w:p>
    <w:p>
      <w:pPr>
        <w:pStyle w:val="ListBullet"/>
      </w:pPr>
      <w:r>
        <w:t>Use the provided Scribe Guide as the execution playbook: file intake → refresh → review exceptions → validation checks → export → sign-off.</w:t>
      </w:r>
    </w:p>
    <w:p>
      <w:pPr>
        <w:pStyle w:val="ListBullet"/>
      </w:pPr>
      <w:r>
        <w:t>Embed the workbook-specific steps: set FolderPath, Refresh All, verify RECON_CHECKS, review EXCEPTIONS_LOG, export reports.</w:t>
      </w:r>
    </w:p>
    <w:p>
      <w:pPr>
        <w:pStyle w:val="ListBullet"/>
      </w:pPr>
      <w:r>
        <w:t>Add explicit what-if paths for: UNMAPPED transactions, missing ACB, missing ROC, FX variance beyond tolerance, reconciliation breaks.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