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Deliverable 6 — SOP Alignment Confirmation</w:t>
      </w:r>
    </w:p>
    <w:p>
      <w:r>
        <w:rPr>
          <w:i/>
        </w:rPr>
        <w:t>Generated on 2026-01-09.</w:t>
      </w:r>
    </w:p>
    <w:p/>
    <w:p>
      <w:pPr>
        <w:pStyle w:val="Heading1"/>
      </w:pPr>
      <w:r>
        <w:t>Alignment confirmation</w:t>
      </w:r>
    </w:p>
    <w:p>
      <w:pPr>
        <w:pStyle w:val="ListBullet"/>
      </w:pPr>
      <w:r>
        <w:t>System-of-record vs dashboard separation is enforced by separate workbooks (Deliverables 1 vs 3) per System Integrity Principles and Appendix H.</w:t>
      </w:r>
    </w:p>
    <w:p>
      <w:pPr>
        <w:pStyle w:val="ListBullet"/>
      </w:pPr>
      <w:r>
        <w:t>Fail-loud behavior is implemented via explicit exception extraction and no default mapping (SOP, System Integrity &amp; Operating Principles).</w:t>
      </w:r>
    </w:p>
    <w:p>
      <w:pPr>
        <w:pStyle w:val="ListBullet"/>
      </w:pPr>
      <w:r>
        <w:t>Change management is implemented via CHANGE_LOG table and version fields in CONTROL_LOG (Appendix I).</w:t>
      </w:r>
    </w:p>
    <w:p>
      <w:pPr>
        <w:pStyle w:val="ListBullet"/>
      </w:pPr>
      <w:r>
        <w:t>Acceptance and sign-off are supported via RECON_CHECKS + EXCEPTIONS_LOG and documented acceptance criteria (Appendix J).</w:t>
      </w:r>
    </w:p>
    <w:p>
      <w:pPr>
        <w:pStyle w:val="ListBullet"/>
      </w:pPr>
      <w:r>
        <w:t>Data retention and archiving are supported by immutable raw file ingestion and period-based workbook archiving guidance (Appendix K).</w:t>
      </w:r>
    </w:p>
    <w:p>
      <w:pPr>
        <w:pStyle w:val="ListBullet"/>
      </w:pPr>
      <w:r>
        <w:t>Explicit out-of-scope items are not implemented in any workbook (Appendix L).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