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7 — Final Acceptance Package (Implementation Notes)</w:t>
      </w:r>
    </w:p>
    <w:p>
      <w:r>
        <w:rPr>
          <w:i/>
        </w:rPr>
        <w:t>Generated on 2026-01-09.</w:t>
      </w:r>
    </w:p>
    <w:p/>
    <w:p>
      <w:pPr>
        <w:pStyle w:val="Heading1"/>
      </w:pPr>
      <w:r>
        <w:t>Package contents</w:t>
      </w:r>
    </w:p>
    <w:p>
      <w:pPr>
        <w:pStyle w:val="ListBullet"/>
      </w:pPr>
      <w:r>
        <w:t>Versioned workbooks (templates provided here) plus finalized, period-archived copies per Appendix K.</w:t>
      </w:r>
    </w:p>
    <w:p>
      <w:pPr>
        <w:pStyle w:val="ListBullet"/>
      </w:pPr>
      <w:r>
        <w:t>Power Query code bundle (/PowerQuery_Code_Deliverable1/) and mapping tables within the account workbook.</w:t>
      </w:r>
    </w:p>
    <w:p>
      <w:pPr>
        <w:pStyle w:val="ListBullet"/>
      </w:pPr>
      <w:r>
        <w:t>Scribe documentation (firm guide + workbook-specific runbook).</w:t>
      </w:r>
    </w:p>
    <w:p>
      <w:pPr>
        <w:pStyle w:val="ListBullet"/>
      </w:pPr>
      <w:r>
        <w:t>Acceptance checklist: reconcile cash/cost/units, review exceptions, confirm drill-through, lock period (Appendix J).</w:t>
      </w:r>
    </w:p>
    <w:p>
      <w:pPr>
        <w:pStyle w:val="ListBullet"/>
      </w:pPr>
      <w:r>
        <w:t>Known limitations are logged as open exceptions and/or deferred items with explicit disclosure.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