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EE16" w14:textId="77777777" w:rsidR="00303B86" w:rsidRPr="00303B86" w:rsidRDefault="00303B86" w:rsidP="00303B86">
      <w:pPr>
        <w:rPr>
          <w:b/>
          <w:bCs/>
        </w:rPr>
      </w:pPr>
      <w:r w:rsidRPr="00303B86">
        <w:rPr>
          <w:b/>
          <w:bCs/>
        </w:rPr>
        <w:t>APPENDIX G — Accounting Overlays &amp; Loan Repayments</w:t>
      </w:r>
    </w:p>
    <w:p w14:paraId="17629E88" w14:textId="77777777" w:rsidR="00303B86" w:rsidRPr="00303B86" w:rsidRDefault="00303B86" w:rsidP="00303B86">
      <w:pPr>
        <w:rPr>
          <w:b/>
          <w:bCs/>
        </w:rPr>
      </w:pPr>
      <w:r w:rsidRPr="00303B86">
        <w:rPr>
          <w:b/>
          <w:bCs/>
        </w:rPr>
        <w:t>Purpose</w:t>
      </w:r>
    </w:p>
    <w:p w14:paraId="3D688765" w14:textId="77777777" w:rsidR="00303B86" w:rsidRPr="00303B86" w:rsidRDefault="00303B86" w:rsidP="00303B86">
      <w:r w:rsidRPr="00303B86">
        <w:t xml:space="preserve">This appendix defines the controlled use of </w:t>
      </w:r>
      <w:r w:rsidRPr="00303B86">
        <w:rPr>
          <w:b/>
          <w:bCs/>
        </w:rPr>
        <w:t>Accounting Overlays</w:t>
      </w:r>
      <w:r w:rsidRPr="00303B86">
        <w:t xml:space="preserve"> to document economic, legal, or tax intent that is </w:t>
      </w:r>
      <w:r w:rsidRPr="00303B86">
        <w:rPr>
          <w:b/>
          <w:bCs/>
        </w:rPr>
        <w:t>not explicitly represented</w:t>
      </w:r>
      <w:r w:rsidRPr="00303B86">
        <w:t xml:space="preserve"> in firm-provided brokerage transaction data.</w:t>
      </w:r>
    </w:p>
    <w:p w14:paraId="6E1F0C2C" w14:textId="77777777" w:rsidR="00303B86" w:rsidRPr="00303B86" w:rsidRDefault="00303B86" w:rsidP="00303B86">
      <w:r w:rsidRPr="00303B86">
        <w:t xml:space="preserve">Accounting overlays exist to support </w:t>
      </w:r>
      <w:r w:rsidRPr="00303B86">
        <w:rPr>
          <w:b/>
          <w:bCs/>
        </w:rPr>
        <w:t>accountant interpretation and tax reporting</w:t>
      </w:r>
      <w:r w:rsidRPr="00303B86">
        <w:t xml:space="preserve">. They do </w:t>
      </w:r>
      <w:r w:rsidRPr="00303B86">
        <w:rPr>
          <w:b/>
          <w:bCs/>
        </w:rPr>
        <w:t>not</w:t>
      </w:r>
      <w:r w:rsidRPr="00303B86">
        <w:t xml:space="preserve"> modify, replace, or correct custodian-reported transactions and must never compromise reconciliation integrity.</w:t>
      </w:r>
    </w:p>
    <w:p w14:paraId="3822F610" w14:textId="77777777" w:rsidR="00303B86" w:rsidRPr="00303B86" w:rsidRDefault="00303B86" w:rsidP="00303B86">
      <w:r w:rsidRPr="00303B86">
        <w:pict w14:anchorId="5DECCD0B">
          <v:rect id="_x0000_i1080" style="width:0;height:1.5pt" o:hralign="center" o:hrstd="t" o:hr="t" fillcolor="#a0a0a0" stroked="f"/>
        </w:pict>
      </w:r>
    </w:p>
    <w:p w14:paraId="304683E1" w14:textId="77777777" w:rsidR="00303B86" w:rsidRPr="00303B86" w:rsidRDefault="00303B86" w:rsidP="00303B86">
      <w:pPr>
        <w:rPr>
          <w:b/>
          <w:bCs/>
        </w:rPr>
      </w:pPr>
      <w:r w:rsidRPr="00303B86">
        <w:rPr>
          <w:b/>
          <w:bCs/>
        </w:rPr>
        <w:t>Core Principles</w:t>
      </w:r>
    </w:p>
    <w:p w14:paraId="1C3E0DD5" w14:textId="77777777" w:rsidR="00303B86" w:rsidRPr="00303B86" w:rsidRDefault="00303B86" w:rsidP="00303B86">
      <w:pPr>
        <w:numPr>
          <w:ilvl w:val="0"/>
          <w:numId w:val="1"/>
        </w:numPr>
      </w:pPr>
      <w:r w:rsidRPr="00303B86">
        <w:rPr>
          <w:b/>
          <w:bCs/>
        </w:rPr>
        <w:t>Brokerage data remains authoritative</w:t>
      </w:r>
      <w:r w:rsidRPr="00303B86">
        <w:br/>
        <w:t>Firm-provided brokerage transactions are the system of record for cash movement, securities activity, and market values.</w:t>
      </w:r>
    </w:p>
    <w:p w14:paraId="13A5559C" w14:textId="77777777" w:rsidR="00303B86" w:rsidRPr="00303B86" w:rsidRDefault="00303B86" w:rsidP="00303B86">
      <w:pPr>
        <w:numPr>
          <w:ilvl w:val="0"/>
          <w:numId w:val="1"/>
        </w:numPr>
      </w:pPr>
      <w:r w:rsidRPr="00303B86">
        <w:rPr>
          <w:b/>
          <w:bCs/>
        </w:rPr>
        <w:t>Overlays are supplemental, not corrective</w:t>
      </w:r>
      <w:r w:rsidRPr="00303B86">
        <w:br/>
        <w:t>Overlays document intent or classification only. They do not alter broker balances, transaction history, or reconciliations.</w:t>
      </w:r>
    </w:p>
    <w:p w14:paraId="48D2021C" w14:textId="77777777" w:rsidR="00303B86" w:rsidRPr="00303B86" w:rsidRDefault="00303B86" w:rsidP="00303B86">
      <w:pPr>
        <w:numPr>
          <w:ilvl w:val="0"/>
          <w:numId w:val="1"/>
        </w:numPr>
      </w:pPr>
      <w:r w:rsidRPr="00303B86">
        <w:rPr>
          <w:b/>
          <w:bCs/>
        </w:rPr>
        <w:t>Overlays must be transparent and reversible</w:t>
      </w:r>
      <w:r w:rsidRPr="00303B86">
        <w:br/>
        <w:t>Every overlay must be traceable, documented, and capable of being reversed without impacting historical broker data.</w:t>
      </w:r>
    </w:p>
    <w:p w14:paraId="3BA7CE1B" w14:textId="77777777" w:rsidR="00303B86" w:rsidRPr="00303B86" w:rsidRDefault="00303B86" w:rsidP="00303B86">
      <w:pPr>
        <w:numPr>
          <w:ilvl w:val="0"/>
          <w:numId w:val="1"/>
        </w:numPr>
      </w:pPr>
      <w:r w:rsidRPr="00303B86">
        <w:rPr>
          <w:b/>
          <w:bCs/>
        </w:rPr>
        <w:t>No manual edits to the ledger</w:t>
      </w:r>
      <w:r w:rsidRPr="00303B86">
        <w:br/>
        <w:t>Manual modification of normalized transaction rows is strictly prohibited. Overlays are the only permitted mechanism for expressing non-broker intent.</w:t>
      </w:r>
    </w:p>
    <w:p w14:paraId="2F9AA4CC" w14:textId="77777777" w:rsidR="00303B86" w:rsidRPr="00303B86" w:rsidRDefault="00303B86" w:rsidP="00303B86">
      <w:r w:rsidRPr="00303B86">
        <w:pict w14:anchorId="60830E6A">
          <v:rect id="_x0000_i1081" style="width:0;height:1.5pt" o:hralign="center" o:hrstd="t" o:hr="t" fillcolor="#a0a0a0" stroked="f"/>
        </w:pict>
      </w:r>
    </w:p>
    <w:p w14:paraId="5AB0E86B" w14:textId="77777777" w:rsidR="00303B86" w:rsidRPr="00303B86" w:rsidRDefault="00303B86" w:rsidP="00303B86">
      <w:pPr>
        <w:rPr>
          <w:b/>
          <w:bCs/>
        </w:rPr>
      </w:pPr>
      <w:r w:rsidRPr="00303B86">
        <w:rPr>
          <w:b/>
          <w:bCs/>
        </w:rPr>
        <w:t>Permitted Overlay Use Cases</w:t>
      </w:r>
    </w:p>
    <w:p w14:paraId="4FD1478F" w14:textId="77777777" w:rsidR="00303B86" w:rsidRPr="00303B86" w:rsidRDefault="00303B86" w:rsidP="00303B86">
      <w:r w:rsidRPr="00303B86">
        <w:t>Accounting overlays may be used only in the following circumstances:</w:t>
      </w:r>
    </w:p>
    <w:p w14:paraId="2AB30800" w14:textId="77777777" w:rsidR="00303B86" w:rsidRPr="00303B86" w:rsidRDefault="00303B86" w:rsidP="00303B86">
      <w:pPr>
        <w:numPr>
          <w:ilvl w:val="0"/>
          <w:numId w:val="2"/>
        </w:numPr>
      </w:pPr>
      <w:r w:rsidRPr="00303B86">
        <w:t>Spousal loan repayments</w:t>
      </w:r>
    </w:p>
    <w:p w14:paraId="3146B3AE" w14:textId="77777777" w:rsidR="00303B86" w:rsidRPr="00303B86" w:rsidRDefault="00303B86" w:rsidP="00303B86">
      <w:pPr>
        <w:numPr>
          <w:ilvl w:val="0"/>
          <w:numId w:val="2"/>
        </w:numPr>
      </w:pPr>
      <w:r w:rsidRPr="00303B86">
        <w:t>Shareholder loan repayments</w:t>
      </w:r>
    </w:p>
    <w:p w14:paraId="0067DF39" w14:textId="77777777" w:rsidR="00303B86" w:rsidRPr="00303B86" w:rsidRDefault="00303B86" w:rsidP="00303B86">
      <w:pPr>
        <w:numPr>
          <w:ilvl w:val="0"/>
          <w:numId w:val="2"/>
        </w:numPr>
      </w:pPr>
      <w:r w:rsidRPr="00303B86">
        <w:t>Principal vs interest allocation on withdrawals</w:t>
      </w:r>
    </w:p>
    <w:p w14:paraId="2BEB4C59" w14:textId="77777777" w:rsidR="00303B86" w:rsidRPr="00303B86" w:rsidRDefault="00303B86" w:rsidP="00303B86">
      <w:pPr>
        <w:numPr>
          <w:ilvl w:val="0"/>
          <w:numId w:val="2"/>
        </w:numPr>
      </w:pPr>
      <w:r w:rsidRPr="00303B86">
        <w:t>Inter-entity reimbursements</w:t>
      </w:r>
    </w:p>
    <w:p w14:paraId="7CDCC679" w14:textId="77777777" w:rsidR="00303B86" w:rsidRPr="00303B86" w:rsidRDefault="00303B86" w:rsidP="00303B86">
      <w:pPr>
        <w:numPr>
          <w:ilvl w:val="0"/>
          <w:numId w:val="2"/>
        </w:numPr>
      </w:pPr>
      <w:r w:rsidRPr="00303B86">
        <w:t>Tax characterization not visible in broker data</w:t>
      </w:r>
    </w:p>
    <w:p w14:paraId="3CB71DDF" w14:textId="77777777" w:rsidR="00303B86" w:rsidRPr="00303B86" w:rsidRDefault="00303B86" w:rsidP="00303B86">
      <w:pPr>
        <w:numPr>
          <w:ilvl w:val="0"/>
          <w:numId w:val="2"/>
        </w:numPr>
      </w:pPr>
      <w:r w:rsidRPr="00303B86">
        <w:lastRenderedPageBreak/>
        <w:t>Accountant-directed memorandum tracking</w:t>
      </w:r>
    </w:p>
    <w:p w14:paraId="5801CF0C" w14:textId="77777777" w:rsidR="00303B86" w:rsidRPr="00303B86" w:rsidRDefault="00303B86" w:rsidP="00303B86">
      <w:r w:rsidRPr="00303B86">
        <w:t>If a scenario does not clearly fall into one of the above categories, overlay use must be reviewed before implementation.</w:t>
      </w:r>
    </w:p>
    <w:p w14:paraId="5870F3CC" w14:textId="77777777" w:rsidR="00303B86" w:rsidRPr="00303B86" w:rsidRDefault="00303B86" w:rsidP="00303B86">
      <w:r w:rsidRPr="00303B86">
        <w:pict w14:anchorId="1ECCD62C">
          <v:rect id="_x0000_i1082" style="width:0;height:1.5pt" o:hralign="center" o:hrstd="t" o:hr="t" fillcolor="#a0a0a0" stroked="f"/>
        </w:pict>
      </w:r>
    </w:p>
    <w:p w14:paraId="0045BD4B" w14:textId="77777777" w:rsidR="00303B86" w:rsidRPr="00303B86" w:rsidRDefault="00303B86" w:rsidP="00303B86">
      <w:pPr>
        <w:rPr>
          <w:b/>
          <w:bCs/>
        </w:rPr>
      </w:pPr>
      <w:r w:rsidRPr="00303B86">
        <w:rPr>
          <w:b/>
          <w:bCs/>
        </w:rPr>
        <w:t>Overlay Table Structure (Mandatory)</w:t>
      </w:r>
    </w:p>
    <w:p w14:paraId="0E7B941B" w14:textId="77777777" w:rsidR="00303B86" w:rsidRPr="00303B86" w:rsidRDefault="00303B86" w:rsidP="00303B86">
      <w:r w:rsidRPr="00303B86">
        <w:t xml:space="preserve">All overlays must be recorded in a </w:t>
      </w:r>
      <w:r w:rsidRPr="00303B86">
        <w:rPr>
          <w:b/>
          <w:bCs/>
        </w:rPr>
        <w:t>separate Overlay Table</w:t>
      </w:r>
      <w:r w:rsidRPr="00303B86">
        <w:t>, distinct from the normalized transaction ledger, with the following minimum fields:</w:t>
      </w:r>
    </w:p>
    <w:p w14:paraId="35ED8995" w14:textId="77777777" w:rsidR="00303B86" w:rsidRPr="00303B86" w:rsidRDefault="00303B86" w:rsidP="00303B86">
      <w:pPr>
        <w:numPr>
          <w:ilvl w:val="0"/>
          <w:numId w:val="3"/>
        </w:numPr>
      </w:pPr>
      <w:r w:rsidRPr="00303B86">
        <w:t>Overlay ID</w:t>
      </w:r>
    </w:p>
    <w:p w14:paraId="74C3DCB1" w14:textId="77777777" w:rsidR="00303B86" w:rsidRPr="00303B86" w:rsidRDefault="00303B86" w:rsidP="00303B86">
      <w:pPr>
        <w:numPr>
          <w:ilvl w:val="0"/>
          <w:numId w:val="3"/>
        </w:numPr>
      </w:pPr>
      <w:r w:rsidRPr="00303B86">
        <w:t>Account ID</w:t>
      </w:r>
    </w:p>
    <w:p w14:paraId="18F6743B" w14:textId="77777777" w:rsidR="00303B86" w:rsidRPr="00303B86" w:rsidRDefault="00303B86" w:rsidP="00303B86">
      <w:pPr>
        <w:numPr>
          <w:ilvl w:val="0"/>
          <w:numId w:val="3"/>
        </w:numPr>
      </w:pPr>
      <w:r w:rsidRPr="00303B86">
        <w:t>Related Broker Transaction ID (if applicable)</w:t>
      </w:r>
    </w:p>
    <w:p w14:paraId="41D5ADB6" w14:textId="77777777" w:rsidR="00303B86" w:rsidRPr="00303B86" w:rsidRDefault="00303B86" w:rsidP="00303B86">
      <w:pPr>
        <w:numPr>
          <w:ilvl w:val="0"/>
          <w:numId w:val="3"/>
        </w:numPr>
      </w:pPr>
      <w:r w:rsidRPr="00303B86">
        <w:t>Overlay Date</w:t>
      </w:r>
    </w:p>
    <w:p w14:paraId="3D75F463" w14:textId="77777777" w:rsidR="00303B86" w:rsidRPr="00303B86" w:rsidRDefault="00303B86" w:rsidP="00303B86">
      <w:pPr>
        <w:numPr>
          <w:ilvl w:val="0"/>
          <w:numId w:val="3"/>
        </w:numPr>
      </w:pPr>
      <w:r w:rsidRPr="00303B86">
        <w:t>Overlay Category</w:t>
      </w:r>
    </w:p>
    <w:p w14:paraId="712D4890" w14:textId="77777777" w:rsidR="00303B86" w:rsidRPr="00303B86" w:rsidRDefault="00303B86" w:rsidP="00303B86">
      <w:pPr>
        <w:numPr>
          <w:ilvl w:val="0"/>
          <w:numId w:val="3"/>
        </w:numPr>
      </w:pPr>
      <w:r w:rsidRPr="00303B86">
        <w:t>Overlay Amount</w:t>
      </w:r>
    </w:p>
    <w:p w14:paraId="7145AAE7" w14:textId="77777777" w:rsidR="00303B86" w:rsidRPr="00303B86" w:rsidRDefault="00303B86" w:rsidP="00303B86">
      <w:pPr>
        <w:numPr>
          <w:ilvl w:val="0"/>
          <w:numId w:val="3"/>
        </w:numPr>
      </w:pPr>
      <w:r w:rsidRPr="00303B86">
        <w:t>Debit / Credit Indicator</w:t>
      </w:r>
    </w:p>
    <w:p w14:paraId="18BA6405" w14:textId="77777777" w:rsidR="00303B86" w:rsidRPr="00303B86" w:rsidRDefault="00303B86" w:rsidP="00303B86">
      <w:pPr>
        <w:numPr>
          <w:ilvl w:val="0"/>
          <w:numId w:val="3"/>
        </w:numPr>
      </w:pPr>
      <w:r w:rsidRPr="00303B86">
        <w:t>Counterparty (if applicable)</w:t>
      </w:r>
    </w:p>
    <w:p w14:paraId="419BD049" w14:textId="77777777" w:rsidR="00303B86" w:rsidRPr="00303B86" w:rsidRDefault="00303B86" w:rsidP="00303B86">
      <w:pPr>
        <w:numPr>
          <w:ilvl w:val="0"/>
          <w:numId w:val="3"/>
        </w:numPr>
      </w:pPr>
      <w:r w:rsidRPr="00303B86">
        <w:t>Description / Accountant Notes</w:t>
      </w:r>
    </w:p>
    <w:p w14:paraId="11924A67" w14:textId="77777777" w:rsidR="00303B86" w:rsidRPr="00303B86" w:rsidRDefault="00303B86" w:rsidP="00303B86">
      <w:pPr>
        <w:numPr>
          <w:ilvl w:val="0"/>
          <w:numId w:val="3"/>
        </w:numPr>
      </w:pPr>
      <w:r w:rsidRPr="00303B86">
        <w:t>Overlay Status (Active / Reversed)</w:t>
      </w:r>
    </w:p>
    <w:p w14:paraId="343D08A4" w14:textId="77777777" w:rsidR="00303B86" w:rsidRPr="00303B86" w:rsidRDefault="00303B86" w:rsidP="00303B86">
      <w:r w:rsidRPr="00303B86">
        <w:t>No additional fields may be added without documentation.</w:t>
      </w:r>
    </w:p>
    <w:p w14:paraId="24815066" w14:textId="77777777" w:rsidR="00303B86" w:rsidRPr="00303B86" w:rsidRDefault="00303B86" w:rsidP="00303B86">
      <w:r w:rsidRPr="00303B86">
        <w:pict w14:anchorId="33410B69">
          <v:rect id="_x0000_i1083" style="width:0;height:1.5pt" o:hralign="center" o:hrstd="t" o:hr="t" fillcolor="#a0a0a0" stroked="f"/>
        </w:pict>
      </w:r>
    </w:p>
    <w:p w14:paraId="0FF62436" w14:textId="77777777" w:rsidR="00303B86" w:rsidRPr="00303B86" w:rsidRDefault="00303B86" w:rsidP="00303B86">
      <w:pPr>
        <w:rPr>
          <w:b/>
          <w:bCs/>
        </w:rPr>
      </w:pPr>
      <w:r w:rsidRPr="00303B86">
        <w:rPr>
          <w:b/>
          <w:bCs/>
        </w:rPr>
        <w:t>Overlay Integrity Rules</w:t>
      </w:r>
    </w:p>
    <w:p w14:paraId="70D7E635" w14:textId="77777777" w:rsidR="00303B86" w:rsidRPr="00303B86" w:rsidRDefault="00303B86" w:rsidP="00303B86">
      <w:pPr>
        <w:numPr>
          <w:ilvl w:val="0"/>
          <w:numId w:val="4"/>
        </w:numPr>
      </w:pPr>
      <w:r w:rsidRPr="00303B86">
        <w:t xml:space="preserve">Overlay entries must </w:t>
      </w:r>
      <w:r w:rsidRPr="00303B86">
        <w:rPr>
          <w:b/>
          <w:bCs/>
        </w:rPr>
        <w:t>net to zero</w:t>
      </w:r>
      <w:r w:rsidRPr="00303B86">
        <w:t xml:space="preserve"> across the overlay table</w:t>
      </w:r>
    </w:p>
    <w:p w14:paraId="25A7811B" w14:textId="77777777" w:rsidR="00303B86" w:rsidRPr="00303B86" w:rsidRDefault="00303B86" w:rsidP="00303B86">
      <w:pPr>
        <w:numPr>
          <w:ilvl w:val="0"/>
          <w:numId w:val="4"/>
        </w:numPr>
      </w:pPr>
      <w:r w:rsidRPr="00303B86">
        <w:t xml:space="preserve">Overlays must </w:t>
      </w:r>
      <w:r w:rsidRPr="00303B86">
        <w:rPr>
          <w:b/>
          <w:bCs/>
        </w:rPr>
        <w:t>not change reported cash balances</w:t>
      </w:r>
    </w:p>
    <w:p w14:paraId="2610BA68" w14:textId="77777777" w:rsidR="00303B86" w:rsidRPr="00303B86" w:rsidRDefault="00303B86" w:rsidP="00303B86">
      <w:pPr>
        <w:numPr>
          <w:ilvl w:val="0"/>
          <w:numId w:val="4"/>
        </w:numPr>
      </w:pPr>
      <w:r w:rsidRPr="00303B86">
        <w:t xml:space="preserve">Overlays must </w:t>
      </w:r>
      <w:r w:rsidRPr="00303B86">
        <w:rPr>
          <w:b/>
          <w:bCs/>
        </w:rPr>
        <w:t>not affect market value or holdings</w:t>
      </w:r>
    </w:p>
    <w:p w14:paraId="6ACBFA33" w14:textId="77777777" w:rsidR="00303B86" w:rsidRPr="00303B86" w:rsidRDefault="00303B86" w:rsidP="00303B86">
      <w:pPr>
        <w:numPr>
          <w:ilvl w:val="0"/>
          <w:numId w:val="4"/>
        </w:numPr>
      </w:pPr>
      <w:r w:rsidRPr="00303B86">
        <w:t>Overlays must reconcile independently of broker data</w:t>
      </w:r>
    </w:p>
    <w:p w14:paraId="2E4A6F3D" w14:textId="77777777" w:rsidR="00303B86" w:rsidRPr="00303B86" w:rsidRDefault="00303B86" w:rsidP="00303B86">
      <w:pPr>
        <w:numPr>
          <w:ilvl w:val="0"/>
          <w:numId w:val="4"/>
        </w:numPr>
      </w:pPr>
      <w:r w:rsidRPr="00303B86">
        <w:t>Overlays must never suppress or mask reconciliation breaks</w:t>
      </w:r>
    </w:p>
    <w:p w14:paraId="789A429C" w14:textId="77777777" w:rsidR="00303B86" w:rsidRPr="00303B86" w:rsidRDefault="00303B86" w:rsidP="00303B86">
      <w:r w:rsidRPr="00303B86">
        <w:pict w14:anchorId="615F822D">
          <v:rect id="_x0000_i1084" style="width:0;height:1.5pt" o:hralign="center" o:hrstd="t" o:hr="t" fillcolor="#a0a0a0" stroked="f"/>
        </w:pict>
      </w:r>
    </w:p>
    <w:p w14:paraId="50FA5780" w14:textId="77777777" w:rsidR="00303B86" w:rsidRPr="00303B86" w:rsidRDefault="00303B86" w:rsidP="00303B86">
      <w:pPr>
        <w:rPr>
          <w:b/>
          <w:bCs/>
        </w:rPr>
      </w:pPr>
      <w:r w:rsidRPr="00303B86">
        <w:rPr>
          <w:b/>
          <w:bCs/>
        </w:rPr>
        <w:t>Controlled Override Policy</w:t>
      </w:r>
    </w:p>
    <w:p w14:paraId="2EFBBB05" w14:textId="77777777" w:rsidR="00303B86" w:rsidRPr="00303B86" w:rsidRDefault="00303B86" w:rsidP="00303B86">
      <w:pPr>
        <w:numPr>
          <w:ilvl w:val="0"/>
          <w:numId w:val="5"/>
        </w:numPr>
      </w:pPr>
      <w:r w:rsidRPr="00303B86">
        <w:lastRenderedPageBreak/>
        <w:t xml:space="preserve">Overlays are the </w:t>
      </w:r>
      <w:r w:rsidRPr="00303B86">
        <w:rPr>
          <w:b/>
          <w:bCs/>
        </w:rPr>
        <w:t>only permitted override mechanism</w:t>
      </w:r>
    </w:p>
    <w:p w14:paraId="0A42696A" w14:textId="77777777" w:rsidR="00303B86" w:rsidRPr="00303B86" w:rsidRDefault="00303B86" w:rsidP="00303B86">
      <w:pPr>
        <w:numPr>
          <w:ilvl w:val="0"/>
          <w:numId w:val="5"/>
        </w:numPr>
      </w:pPr>
      <w:r w:rsidRPr="00303B86">
        <w:t>Overrides must:</w:t>
      </w:r>
    </w:p>
    <w:p w14:paraId="30D2BCA2" w14:textId="77777777" w:rsidR="00303B86" w:rsidRPr="00303B86" w:rsidRDefault="00303B86" w:rsidP="00303B86">
      <w:pPr>
        <w:numPr>
          <w:ilvl w:val="1"/>
          <w:numId w:val="5"/>
        </w:numPr>
      </w:pPr>
      <w:r w:rsidRPr="00303B86">
        <w:t>be explicitly documented</w:t>
      </w:r>
    </w:p>
    <w:p w14:paraId="1F9B6460" w14:textId="77777777" w:rsidR="00303B86" w:rsidRPr="00303B86" w:rsidRDefault="00303B86" w:rsidP="00303B86">
      <w:pPr>
        <w:numPr>
          <w:ilvl w:val="1"/>
          <w:numId w:val="5"/>
        </w:numPr>
      </w:pPr>
      <w:r w:rsidRPr="00303B86">
        <w:t>be reversible via an equal and opposite overlay</w:t>
      </w:r>
    </w:p>
    <w:p w14:paraId="27668254" w14:textId="77777777" w:rsidR="00303B86" w:rsidRPr="00303B86" w:rsidRDefault="00303B86" w:rsidP="00303B86">
      <w:pPr>
        <w:numPr>
          <w:ilvl w:val="1"/>
          <w:numId w:val="5"/>
        </w:numPr>
      </w:pPr>
      <w:r w:rsidRPr="00303B86">
        <w:t>preserve full historical visibility</w:t>
      </w:r>
    </w:p>
    <w:p w14:paraId="22A2A6FC" w14:textId="77777777" w:rsidR="00303B86" w:rsidRPr="00303B86" w:rsidRDefault="00303B86" w:rsidP="00303B86">
      <w:pPr>
        <w:numPr>
          <w:ilvl w:val="0"/>
          <w:numId w:val="5"/>
        </w:numPr>
      </w:pPr>
      <w:r w:rsidRPr="00303B86">
        <w:t>Silent overrides, inferred classifications, or undocumented adjustments are prohibited</w:t>
      </w:r>
    </w:p>
    <w:p w14:paraId="54ECDC8D" w14:textId="77777777" w:rsidR="00303B86" w:rsidRPr="00303B86" w:rsidRDefault="00303B86" w:rsidP="00303B86">
      <w:r w:rsidRPr="00303B86">
        <w:pict w14:anchorId="2811D9AE">
          <v:rect id="_x0000_i1085" style="width:0;height:1.5pt" o:hralign="center" o:hrstd="t" o:hr="t" fillcolor="#a0a0a0" stroked="f"/>
        </w:pict>
      </w:r>
    </w:p>
    <w:p w14:paraId="1DD5E03F" w14:textId="77777777" w:rsidR="00303B86" w:rsidRPr="00303B86" w:rsidRDefault="00303B86" w:rsidP="00303B86">
      <w:pPr>
        <w:rPr>
          <w:b/>
          <w:bCs/>
        </w:rPr>
      </w:pPr>
      <w:r w:rsidRPr="00303B86">
        <w:rPr>
          <w:b/>
          <w:bCs/>
        </w:rPr>
        <w:t>Reporting Treatment</w:t>
      </w:r>
    </w:p>
    <w:p w14:paraId="31088E41" w14:textId="77777777" w:rsidR="00303B86" w:rsidRPr="00303B86" w:rsidRDefault="00303B86" w:rsidP="00303B86">
      <w:r w:rsidRPr="00303B86">
        <w:t>Overlay activity must be surfaced in:</w:t>
      </w:r>
    </w:p>
    <w:p w14:paraId="30462463" w14:textId="77777777" w:rsidR="00303B86" w:rsidRPr="00303B86" w:rsidRDefault="00303B86" w:rsidP="00303B86">
      <w:pPr>
        <w:numPr>
          <w:ilvl w:val="0"/>
          <w:numId w:val="6"/>
        </w:numPr>
      </w:pPr>
      <w:r w:rsidRPr="00303B86">
        <w:t>Overlay Summary Schedule</w:t>
      </w:r>
    </w:p>
    <w:p w14:paraId="0DEEBC77" w14:textId="77777777" w:rsidR="00303B86" w:rsidRPr="00303B86" w:rsidRDefault="00303B86" w:rsidP="00303B86">
      <w:pPr>
        <w:numPr>
          <w:ilvl w:val="0"/>
          <w:numId w:val="6"/>
        </w:numPr>
      </w:pPr>
      <w:r w:rsidRPr="00303B86">
        <w:t>Accountant Export Package</w:t>
      </w:r>
    </w:p>
    <w:p w14:paraId="1AC0D42F" w14:textId="77777777" w:rsidR="00303B86" w:rsidRPr="00303B86" w:rsidRDefault="00303B86" w:rsidP="00303B86">
      <w:pPr>
        <w:numPr>
          <w:ilvl w:val="0"/>
          <w:numId w:val="6"/>
        </w:numPr>
      </w:pPr>
      <w:r w:rsidRPr="00303B86">
        <w:t>Memorandum or supplemental schedules (where applicable)</w:t>
      </w:r>
    </w:p>
    <w:p w14:paraId="7298D654" w14:textId="77777777" w:rsidR="00303B86" w:rsidRPr="00303B86" w:rsidRDefault="00303B86" w:rsidP="00303B86">
      <w:r w:rsidRPr="00303B86">
        <w:t xml:space="preserve">Overlay entries must </w:t>
      </w:r>
      <w:r w:rsidRPr="00303B86">
        <w:rPr>
          <w:b/>
          <w:bCs/>
        </w:rPr>
        <w:t>never appear</w:t>
      </w:r>
      <w:r w:rsidRPr="00303B86">
        <w:t xml:space="preserve"> as broker transactions and must </w:t>
      </w:r>
      <w:r w:rsidRPr="00303B86">
        <w:rPr>
          <w:b/>
          <w:bCs/>
        </w:rPr>
        <w:t>never be merged</w:t>
      </w:r>
      <w:r w:rsidRPr="00303B86">
        <w:t xml:space="preserve"> into the normalized transaction ledger.</w:t>
      </w:r>
    </w:p>
    <w:p w14:paraId="6C634AC0" w14:textId="77777777" w:rsidR="00303B86" w:rsidRPr="00303B86" w:rsidRDefault="00303B86" w:rsidP="00303B86">
      <w:r w:rsidRPr="00303B86">
        <w:pict w14:anchorId="4FD8C02D">
          <v:rect id="_x0000_i1086" style="width:0;height:1.5pt" o:hralign="center" o:hrstd="t" o:hr="t" fillcolor="#a0a0a0" stroked="f"/>
        </w:pict>
      </w:r>
    </w:p>
    <w:p w14:paraId="383799DE" w14:textId="77777777" w:rsidR="00303B86" w:rsidRPr="00303B86" w:rsidRDefault="00303B86" w:rsidP="00303B86">
      <w:pPr>
        <w:rPr>
          <w:b/>
          <w:bCs/>
        </w:rPr>
      </w:pPr>
      <w:r w:rsidRPr="00303B86">
        <w:rPr>
          <w:b/>
          <w:bCs/>
        </w:rPr>
        <w:t>Governance &amp; Change Control</w:t>
      </w:r>
    </w:p>
    <w:p w14:paraId="4816A5B3" w14:textId="77777777" w:rsidR="00303B86" w:rsidRPr="00303B86" w:rsidRDefault="00303B86" w:rsidP="00303B86">
      <w:pPr>
        <w:numPr>
          <w:ilvl w:val="0"/>
          <w:numId w:val="7"/>
        </w:numPr>
      </w:pPr>
      <w:r w:rsidRPr="00303B86">
        <w:t>Overlay categories and rules are subject to change management and versioning controls</w:t>
      </w:r>
    </w:p>
    <w:p w14:paraId="27DFABE1" w14:textId="77777777" w:rsidR="00303B86" w:rsidRPr="00303B86" w:rsidRDefault="00303B86" w:rsidP="00303B86">
      <w:pPr>
        <w:numPr>
          <w:ilvl w:val="0"/>
          <w:numId w:val="7"/>
        </w:numPr>
      </w:pPr>
      <w:r w:rsidRPr="00303B86">
        <w:t>New overlay types require documentation and approval</w:t>
      </w:r>
    </w:p>
    <w:p w14:paraId="4AD1A723" w14:textId="77777777" w:rsidR="00303B86" w:rsidRPr="00303B86" w:rsidRDefault="00303B86" w:rsidP="00303B86">
      <w:pPr>
        <w:numPr>
          <w:ilvl w:val="0"/>
          <w:numId w:val="7"/>
        </w:numPr>
      </w:pPr>
      <w:r w:rsidRPr="00303B86">
        <w:t>Historical overlays must not be retroactively altered without disclosure</w:t>
      </w:r>
    </w:p>
    <w:p w14:paraId="6805BFBB" w14:textId="77777777" w:rsidR="00303B86" w:rsidRPr="00303B86" w:rsidRDefault="00303B86" w:rsidP="00303B86">
      <w:r w:rsidRPr="00303B86">
        <w:pict w14:anchorId="495161A1">
          <v:rect id="_x0000_i1087" style="width:0;height:1.5pt" o:hralign="center" o:hrstd="t" o:hr="t" fillcolor="#a0a0a0" stroked="f"/>
        </w:pict>
      </w:r>
    </w:p>
    <w:p w14:paraId="3F9956DB" w14:textId="77777777" w:rsidR="00303B86" w:rsidRPr="00303B86" w:rsidRDefault="00303B86" w:rsidP="00303B86">
      <w:pPr>
        <w:rPr>
          <w:b/>
          <w:bCs/>
        </w:rPr>
      </w:pPr>
      <w:r w:rsidRPr="00303B86">
        <w:rPr>
          <w:b/>
          <w:bCs/>
        </w:rPr>
        <w:t>Closing Statement</w:t>
      </w:r>
    </w:p>
    <w:p w14:paraId="78A5D4F0" w14:textId="77777777" w:rsidR="00303B86" w:rsidRPr="00303B86" w:rsidRDefault="00303B86" w:rsidP="00303B86">
      <w:r w:rsidRPr="00303B86">
        <w:t xml:space="preserve">Accounting overlays exist to </w:t>
      </w:r>
      <w:r w:rsidRPr="00303B86">
        <w:rPr>
          <w:b/>
          <w:bCs/>
        </w:rPr>
        <w:t>explain reality</w:t>
      </w:r>
      <w:r w:rsidRPr="00303B86">
        <w:t>, not to rewrite it.</w:t>
      </w:r>
    </w:p>
    <w:p w14:paraId="0CE70309" w14:textId="77777777" w:rsidR="00303B86" w:rsidRPr="00303B86" w:rsidRDefault="00303B86" w:rsidP="00303B86">
      <w:r w:rsidRPr="00303B86">
        <w:t>Used correctly, they allow accountants and advisors to understand intent without compromising reconciliation, audit defensibility, or trust in the underlying data.</w:t>
      </w:r>
    </w:p>
    <w:p w14:paraId="156C2FE3" w14:textId="77777777" w:rsidR="00303B86" w:rsidRPr="00303B86" w:rsidRDefault="00303B86" w:rsidP="00303B86">
      <w:r w:rsidRPr="00303B86">
        <w:lastRenderedPageBreak/>
        <w:t>Any overlay that obscures, alters, or compensates for missing broker data violates the principles of this system and is not permitted.</w:t>
      </w:r>
    </w:p>
    <w:p w14:paraId="02C7E9D3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D2B"/>
    <w:multiLevelType w:val="multilevel"/>
    <w:tmpl w:val="F962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2344"/>
    <w:multiLevelType w:val="multilevel"/>
    <w:tmpl w:val="28EA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F01C2"/>
    <w:multiLevelType w:val="multilevel"/>
    <w:tmpl w:val="5596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567ED"/>
    <w:multiLevelType w:val="multilevel"/>
    <w:tmpl w:val="83E4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451EA"/>
    <w:multiLevelType w:val="multilevel"/>
    <w:tmpl w:val="8246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C584A"/>
    <w:multiLevelType w:val="multilevel"/>
    <w:tmpl w:val="9BD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A45CB"/>
    <w:multiLevelType w:val="multilevel"/>
    <w:tmpl w:val="626C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779922">
    <w:abstractNumId w:val="4"/>
  </w:num>
  <w:num w:numId="2" w16cid:durableId="1286428901">
    <w:abstractNumId w:val="6"/>
  </w:num>
  <w:num w:numId="3" w16cid:durableId="1280573637">
    <w:abstractNumId w:val="3"/>
  </w:num>
  <w:num w:numId="4" w16cid:durableId="2081051296">
    <w:abstractNumId w:val="5"/>
  </w:num>
  <w:num w:numId="5" w16cid:durableId="1865903071">
    <w:abstractNumId w:val="0"/>
  </w:num>
  <w:num w:numId="6" w16cid:durableId="1625699454">
    <w:abstractNumId w:val="1"/>
  </w:num>
  <w:num w:numId="7" w16cid:durableId="1593196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03B86"/>
    <w:rsid w:val="000D2249"/>
    <w:rsid w:val="001374DF"/>
    <w:rsid w:val="00150159"/>
    <w:rsid w:val="001A409E"/>
    <w:rsid w:val="001A44E4"/>
    <w:rsid w:val="00303B86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21216"/>
    <w:rsid w:val="00AB147E"/>
    <w:rsid w:val="00B725E3"/>
    <w:rsid w:val="00C11A0C"/>
    <w:rsid w:val="00CD5A8A"/>
    <w:rsid w:val="00CF7B11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50F6"/>
  <w15:chartTrackingRefBased/>
  <w15:docId w15:val="{A3F4C69B-07A5-46B5-A2E3-EDB19004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3095</Characters>
  <Application>Microsoft Office Word</Application>
  <DocSecurity>0</DocSecurity>
  <Lines>85</Lines>
  <Paragraphs>58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1</cp:revision>
  <dcterms:created xsi:type="dcterms:W3CDTF">2026-01-04T21:25:00Z</dcterms:created>
  <dcterms:modified xsi:type="dcterms:W3CDTF">2026-01-04T21:26:00Z</dcterms:modified>
</cp:coreProperties>
</file>