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Georgia" w:cs="Georgia" w:eastAsia="Georgia" w:hAnsi="Georgia"/>
          <w:b/>
          <w:bCs/>
          <w:color w:val="0B1220"/>
          <w:sz w:val="44"/>
          <w:szCs w:val="44"/>
        </w:rPr>
        <w:t xml:space="preserve">AI DEFENSE LAB FOR PAYMENT SECURITY</w:t>
      </w:r>
    </w:p>
    <w:p>
      <w:pPr>
        <w:spacing w:after="300"/>
      </w:pPr>
      <w:r>
        <w:rPr>
          <w:rFonts w:ascii="Georgia" w:cs="Georgia" w:eastAsia="Georgia" w:hAnsi="Georgia"/>
          <w:color w:val="9A7B12"/>
          <w:sz w:val="26"/>
          <w:szCs w:val="26"/>
        </w:rPr>
        <w:t xml:space="preserve">Solution Walkthrough — Mastercard Innovation Challenge 2026</w:t>
      </w:r>
    </w:p>
    <w:p>
      <w:pPr>
        <w:spacing w:after="100"/>
      </w:pPr>
      <w:r>
        <w:rPr>
          <w:rFonts w:ascii="Calibri" w:cs="Calibri" w:eastAsia="Calibri" w:hAnsi="Calibri"/>
          <w:i/>
          <w:iCs/>
          <w:color w:val="5B6478"/>
          <w:sz w:val="22"/>
          <w:szCs w:val="22"/>
        </w:rPr>
        <w:t xml:space="preserve">Identify → Generate → Defend, across four distinct GenAI-powered payment fraud attack surfaces.</w:t>
      </w:r>
    </w:p>
    <w:p>
      <w:pPr>
        <w:spacing w:after="600"/>
      </w:pPr>
      <w:r>
        <w:rPr>
          <w:rFonts w:ascii="Calibri" w:cs="Calibri" w:eastAsia="Calibri" w:hAnsi="Calibri"/>
          <w:i/>
          <w:iCs/>
          <w:color w:val="5B6478"/>
          <w:sz w:val="22"/>
          <w:szCs w:val="22"/>
        </w:rPr>
        <w:t xml:space="preserve">Every result in this document is from a verified, logged run — not a projection.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Track</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Focus</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Headline Result</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Classic transaction fraud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Recall on adversarial fraud: 0.2555 → 0.9998 after closed loop</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B</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Agentic-commerce mandate hijack</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2/2 mandate-injection attacks blocked by real LLM + gate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Deepfake identity fraud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Pretrained audio detector fooled at 99.998% confidence</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D</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Feedback-loop poisoning</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63.8% poison caught, 0 false quarantines</w:t>
            </w:r>
          </w:p>
        </w:tc>
      </w:tr>
    </w:tbl>
    <w:p>
      <w:r>
        <w:br w:type="page"/>
      </w:r>
    </w:p>
    <w:p>
      <w:pPr>
        <w:pStyle w:val="Heading1"/>
        <w:spacing w:after="200" w:before="400"/>
      </w:pPr>
      <w:r>
        <w:t xml:space="preserve">1. Executive Summary</w:t>
      </w:r>
    </w:p>
    <w:p>
      <w:pPr>
        <w:spacing w:after="160"/>
      </w:pPr>
      <w:r>
        <w:rPr>
          <w:rFonts w:ascii="Calibri" w:cs="Calibri" w:eastAsia="Calibri" w:hAnsi="Calibri"/>
          <w:color w:val="0B1220"/>
          <w:sz w:val="22"/>
          <w:szCs w:val="22"/>
        </w:rPr>
        <w:t xml:space="preserve">The Mastercard Innovation Challenge 2026 asks for one closed-loop red-team/blue-team system: identify emerging GenAI-powered payment fraud, generate high-fidelity simulations of it, and build a defense that catches it — with misses feeding back into training. Most submissions will build this cycle once, around a single classic transaction-fraud classifier.</w:t>
      </w:r>
    </w:p>
    <w:p>
      <w:pPr>
        <w:spacing w:after="160"/>
      </w:pPr>
      <w:r>
        <w:rPr>
          <w:rFonts w:ascii="Calibri" w:cs="Calibri" w:eastAsia="Calibri" w:hAnsi="Calibri"/>
          <w:color w:val="0B1220"/>
          <w:sz w:val="22"/>
          <w:szCs w:val="22"/>
        </w:rPr>
        <w:t xml:space="preserve">We built it four times, against four structurally different attack surfaces:</w:t>
      </w:r>
    </w:p>
    <w:p>
      <w:pPr>
        <w:pStyle w:val="ListParagraph"/>
        <w:numPr>
          <w:ilvl w:val="0"/>
          <w:numId w:val="1"/>
        </w:numPr>
        <w:spacing w:after="80"/>
      </w:pPr>
      <w:r>
        <w:rPr>
          <w:rFonts w:ascii="Calibri" w:cs="Calibri" w:eastAsia="Calibri" w:hAnsi="Calibri"/>
          <w:sz w:val="21"/>
          <w:szCs w:val="21"/>
        </w:rPr>
        <w:t xml:space="preserve">Track A — classic transaction fraud, evaded via GenAI-crafted feature blending</w:t>
      </w:r>
    </w:p>
    <w:p>
      <w:pPr>
        <w:pStyle w:val="ListParagraph"/>
        <w:numPr>
          <w:ilvl w:val="0"/>
          <w:numId w:val="1"/>
        </w:numPr>
        <w:spacing w:after="80"/>
      </w:pPr>
      <w:r>
        <w:rPr>
          <w:rFonts w:ascii="Calibri" w:cs="Calibri" w:eastAsia="Calibri" w:hAnsi="Calibri"/>
          <w:sz w:val="21"/>
          <w:szCs w:val="21"/>
        </w:rPr>
        <w:t xml:space="preserve">Track B — agentic-commerce fraud, mandate injection against an AI shopping agent (directly relevant to Mastercard's own Agent Pay Acceptance Framework)</w:t>
      </w:r>
    </w:p>
    <w:p>
      <w:pPr>
        <w:pStyle w:val="ListParagraph"/>
        <w:numPr>
          <w:ilvl w:val="0"/>
          <w:numId w:val="1"/>
        </w:numPr>
        <w:spacing w:after="80"/>
      </w:pPr>
      <w:r>
        <w:rPr>
          <w:rFonts w:ascii="Calibri" w:cs="Calibri" w:eastAsia="Calibri" w:hAnsi="Calibri"/>
          <w:sz w:val="21"/>
          <w:szCs w:val="21"/>
        </w:rPr>
        <w:t xml:space="preserve">Track C — deepfake identity fraud, voice-clone vishing and video KYC-bypass</w:t>
      </w:r>
    </w:p>
    <w:p>
      <w:pPr>
        <w:pStyle w:val="ListParagraph"/>
        <w:numPr>
          <w:ilvl w:val="0"/>
          <w:numId w:val="1"/>
        </w:numPr>
        <w:spacing w:after="200"/>
      </w:pPr>
      <w:r>
        <w:rPr>
          <w:rFonts w:ascii="Calibri" w:cs="Calibri" w:eastAsia="Calibri" w:hAnsi="Calibri"/>
          <w:sz w:val="21"/>
          <w:szCs w:val="21"/>
        </w:rPr>
        <w:t xml:space="preserve">Track D — feedback-loop poisoning, an attack on the defense's own retraining pipeline — the meta-track, red-teaming our own Track A closed loop</w:t>
      </w:r>
    </w:p>
    <w:p>
      <w:pPr>
        <w:spacing w:after="160"/>
      </w:pPr>
      <w:r>
        <w:rPr>
          <w:rFonts w:ascii="Calibri" w:cs="Calibri" w:eastAsia="Calibri" w:hAnsi="Calibri"/>
          <w:color w:val="0B1220"/>
          <w:sz w:val="22"/>
          <w:szCs w:val="22"/>
        </w:rPr>
        <w:t xml:space="preserve">Every metric in this document — precision, recall, AUC, detector confidence scores, SNR values — comes from an actual run against real data (IEEE-CIS Fraud Detection dataset for Tracks A and D; real local-LLM inference for Track B; real generated voice/video media for Track C). Where a result was disappointing or a first approach failed outright, that is reported too, not hidden — see the callout boxes throughout.</w:t>
      </w:r>
    </w:p>
    <w:p>
      <w:pPr>
        <w:pStyle w:val="Heading1"/>
        <w:spacing w:after="200" w:before="400"/>
      </w:pPr>
      <w:r>
        <w:t xml:space="preserve">2. Our Approach: One Closed Loop, Four Attack Surfaces</w:t>
      </w:r>
    </w:p>
    <w:p>
      <w:pPr>
        <w:spacing w:after="160"/>
      </w:pPr>
      <w:r>
        <w:rPr>
          <w:rFonts w:ascii="Calibri" w:cs="Calibri" w:eastAsia="Calibri" w:hAnsi="Calibri"/>
          <w:color w:val="0B1220"/>
          <w:sz w:val="22"/>
          <w:szCs w:val="22"/>
        </w:rPr>
        <w:t xml:space="preserve">Each track follows the same three-stage cycle the brief specifies: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Stage</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What it means in this submission</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Identify</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A structured attack taxonomy per track, grounded in how the relevant payment systems and fraud actually work</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Generate</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Adversarial data, autonomous agents, or synthetic media that simulate the attack at meaningful fidelity</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Defend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A classifier, reasoning gate, or detector that catches the attack, with metrics reported honestly including false-positive rate</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missed attacks are logged and fed back into training in every track — this feedback mechanism is what separates a closed-loop system from a one-shot classifier, and it is what the brief explicitly rewards.</w:t>
            </w:r>
          </w:p>
        </w:tc>
      </w:tr>
    </w:tbl>
    <w:p>
      <w:pPr>
        <w:spacing w:after="120"/>
      </w:pPr>
    </w:p>
    <w:p>
      <w:pPr>
        <w:pStyle w:val="Heading1"/>
        <w:spacing w:after="200" w:before="400"/>
      </w:pPr>
      <w:r>
        <w:t xml:space="preserve">3. Track A — Classic Transaction Fraud</w:t>
      </w:r>
    </w:p>
    <w:p>
      <w:pPr>
        <w:spacing w:after="160"/>
      </w:pPr>
      <w:r>
        <w:rPr>
          <w:rFonts w:ascii="Calibri" w:cs="Calibri" w:eastAsia="Calibri" w:hAnsi="Calibri"/>
          <w:color w:val="0B1220"/>
          <w:sz w:val="22"/>
          <w:szCs w:val="22"/>
        </w:rPr>
        <w:t xml:space="preserve">Identify: static classifiers fail against GenAI-disguised fraud — the challenge brief's own opening premise. We set out to demonstrate this concretely rather than assert it.</w:t>
      </w:r>
    </w:p>
    <w:p>
      <w:pPr>
        <w:spacing w:after="160"/>
      </w:pPr>
      <w:r>
        <w:rPr>
          <w:rFonts w:ascii="Calibri" w:cs="Calibri" w:eastAsia="Calibri" w:hAnsi="Calibri"/>
          <w:color w:val="0B1220"/>
          <w:sz w:val="22"/>
          <w:szCs w:val="22"/>
        </w:rPr>
        <w:t xml:space="preserve">Generate: fraud transactions from a held-out test set are blended toward the legitimate population's distribution — card fingerprint, address codes, transaction velocity, and verification-match features are nudged toward normal-looking values, simulating what a GenAI fraud pipeline could plausibly tune to evade detection.</w:t>
      </w:r>
    </w:p>
    <w:p>
      <w:pPr>
        <w:spacing w:after="160"/>
      </w:pPr>
      <w:r>
        <w:rPr>
          <w:rFonts w:ascii="Calibri" w:cs="Calibri" w:eastAsia="Calibri" w:hAnsi="Calibri"/>
          <w:color w:val="0B1220"/>
          <w:sz w:val="22"/>
          <w:szCs w:val="22"/>
        </w:rPr>
        <w:t xml:space="preserve">Defend: an XGBoost classifier (v1) is trained on baseline data, evaluated against the disguised attack, and retrained (v2) on the examples it missed. v2 is then evaluated against a completely fresh disguised batch — never seen during retraining — to confirm it learned the general disguise pattern rather than memorizing specific rows.</w:t>
      </w:r>
    </w:p>
    <w:p>
      <w:pPr>
        <w:pStyle w:val="Heading2"/>
        <w:spacing w:after="150" w:before="300"/>
      </w:pPr>
      <w:r>
        <w:t xml:space="preserve">Results (real IEEE-CIS Fraud Detection dataset, 51 engineered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Run</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Precision</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Recall</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F1</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AUC</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FP rate</w:t>
            </w:r>
          </w:p>
        </w:tc>
      </w:tr>
      <w:tr>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v1 — baseline fraud</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0.249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0.824</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0.3825</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0.939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0.0901</w:t>
            </w:r>
          </w:p>
        </w:tc>
      </w:tr>
      <w:tr>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v1 — adversarial fraud</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0.0933</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0.2555</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0.1366</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0.5482</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0.0901</w:t>
            </w:r>
          </w:p>
        </w:tc>
      </w:tr>
      <w:tr>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v2 — fresh adversarial fraud</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0.3509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0.9998</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0.5195</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1.0</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0.067</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v1's near-total recall collapse on adversarial fraud (0.824 → 0.2555) is the intended finding, not a defect — it demonstrates the exact failure mode the challenge brief describes. v2's recovery on a fresh, unseen batch (4,615 hard examples fed back) shows the closed loop working as designed.</w:t>
            </w:r>
          </w:p>
        </w:tc>
      </w:tr>
    </w:tbl>
    <w:p>
      <w:pPr>
        <w:spacing w:after="120"/>
      </w:pPr>
    </w:p>
    <w:p>
      <w:pPr>
        <w:pStyle w:val="Heading1"/>
        <w:spacing w:after="200" w:before="400"/>
      </w:pPr>
      <w:r>
        <w:t xml:space="preserve">4. Track B — Agentic-Commerce Mandate Hijack</w:t>
      </w:r>
    </w:p>
    <w:p>
      <w:pPr>
        <w:spacing w:after="160"/>
      </w:pPr>
      <w:r>
        <w:rPr>
          <w:rFonts w:ascii="Calibri" w:cs="Calibri" w:eastAsia="Calibri" w:hAnsi="Calibri"/>
          <w:color w:val="0B1220"/>
          <w:sz w:val="22"/>
          <w:szCs w:val="22"/>
        </w:rPr>
        <w:t xml:space="preserve">Identify: Mastercard's own Agent Pay Acceptance Framework — piloted with PayPal, built to interoperate with Google's AP2 — makes agentic-commerce fraud directly relevant to where Mastercard's product is heading. An AI shopping agent that reads product listings and issues payment mandates has a clear injection surface: the listing's free-text description.</w:t>
      </w:r>
    </w:p>
    <w:p>
      <w:pPr>
        <w:spacing w:after="160"/>
      </w:pPr>
      <w:r>
        <w:rPr>
          <w:rFonts w:ascii="Calibri" w:cs="Calibri" w:eastAsia="Calibri" w:hAnsi="Calibri"/>
          <w:color w:val="0B1220"/>
          <w:sz w:val="22"/>
          <w:szCs w:val="22"/>
        </w:rPr>
        <w:t xml:space="preserve">Generate: using LangGraph, a shopper agent (backed by a real local LLM — Ollama, qwen3:8b, not a scripted response) reads a product listing and produces a payment mandate. Two attack variants were tested: a full merchant redirect, and a same-merchant amount-only inflation.</w:t>
      </w:r>
    </w:p>
    <w:p>
      <w:pPr>
        <w:spacing w:after="160"/>
      </w:pPr>
      <w:r>
        <w:rPr>
          <w:rFonts w:ascii="Calibri" w:cs="Calibri" w:eastAsia="Calibri" w:hAnsi="Calibri"/>
          <w:color w:val="0B1220"/>
          <w:sz w:val="22"/>
          <w:szCs w:val="22"/>
        </w:rPr>
        <w:t xml:space="preserve">Defend: a Reasoning Integrity Gate sits between the agent's output and payment execution, running three checks before allowing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Check</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Result</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Why it matters</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Evidence-decision consistency</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FAILED on both attacks (correctly)</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Compares the mandate against the trusted catalog record — this is the check that actually holds against an adaptive attacker</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Injection marker scan</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FAILED on both (correctly)</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Pattern-based; a known-weak layer on its own, stated plainly rather than oversold</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Rule-of-two checkpoint</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PASSED (structural)</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Architectural, not content-based — the gate physically sits between untrusted input and payment execution in the code, not as a prompt instruction that could be bypassed</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Scenario</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Naive pipeline</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Gated pipeline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SKU_HP_001, clean listing</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Executed correctly ($129.99)</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ALLOW</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SKU_HP_001, injected (merchant redirect)</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Executed hijack ($349.99 to EVIL_DROPSHIP_942)</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BLOCK</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SKU_WATCH_002, injected (amount inflation)</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Executed hijack ($499.00 vs. $89.50 expected)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BLOCK</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pattern-based injection scanning is beatable by an attacker who avoids known trigger phrases — published research shows adaptive attacks bypass most deployed defenses. The gate is framed as blast-radius reduction, not a guarantee; this is the credible claim to a technical reviewer, not an overclaim.</w:t>
            </w:r>
          </w:p>
        </w:tc>
      </w:tr>
    </w:tbl>
    <w:p>
      <w:pPr>
        <w:spacing w:after="120"/>
      </w:pPr>
    </w:p>
    <w:p>
      <w:pPr>
        <w:pStyle w:val="Heading1"/>
        <w:spacing w:after="200" w:before="400"/>
      </w:pPr>
      <w:r>
        <w:t xml:space="preserve">5. Track C — Deepfake Identity Fraud</w:t>
      </w:r>
    </w:p>
    <w:p>
      <w:pPr>
        <w:spacing w:after="160"/>
      </w:pPr>
      <w:r>
        <w:rPr>
          <w:rFonts w:ascii="Calibri" w:cs="Calibri" w:eastAsia="Calibri" w:hAnsi="Calibri"/>
          <w:color w:val="0B1220"/>
          <w:sz w:val="22"/>
          <w:szCs w:val="22"/>
        </w:rPr>
        <w:t xml:space="preserve">Identify: voice-clone vishing (cloned-voice OTP-scam calls) and video deepfake KYC-bypass (selfie-injection against liveness checks) are among the fastest-growing GenAI-enabled fraud vectors.</w:t>
      </w:r>
    </w:p>
    <w:p>
      <w:pPr>
        <w:spacing w:after="160"/>
      </w:pPr>
      <w:r>
        <w:rPr>
          <w:rFonts w:ascii="Calibri" w:cs="Calibri" w:eastAsia="Calibri" w:hAnsi="Calibri"/>
          <w:color w:val="0B1220"/>
          <w:sz w:val="22"/>
          <w:szCs w:val="22"/>
        </w:rPr>
        <w:t xml:space="preserve">Generate: a genuine reference voice clip is cloned with Coqui XTTS-v2 to read an OTP-vishing script; the cloned audio then drives SadTalker to generate a lip-synced talking-head video from a photo, simulating a KYC selfie-injection attempt.</w:t>
      </w:r>
    </w:p>
    <w:p>
      <w:pPr>
        <w:spacing w:after="160"/>
      </w:pPr>
      <w:r>
        <w:rPr>
          <w:rFonts w:ascii="Calibri" w:cs="Calibri" w:eastAsia="Calibri" w:hAnsi="Calibri"/>
          <w:color w:val="0B1220"/>
          <w:sz w:val="22"/>
          <w:szCs w:val="22"/>
        </w:rPr>
        <w:t xml:space="preserve">Defend, audio: a pretrained HuggingFace model (MelodyMachine/Deepfake-audio-detection-V2, wav2vec2-based, zero fine-tuning) scores both the genuine clip and the cloned attack 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Clip</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"Real" confidence</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"Fake" confidence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Genuine reference clip</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99.998%</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0.0017%</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Cloned attack audio</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99.998%</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0.0017%</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total evasion — the pretrained detector could not distinguish the cloned attack audio from the genuine clip at all. This is direct evidence of high attack fidelity, and direct justification for closed-loop, continuously-retrained defense over reliance on a static checkpoint.</w:t>
            </w:r>
          </w:p>
        </w:tc>
      </w:tr>
    </w:tbl>
    <w:p>
      <w:pPr>
        <w:spacing w:after="120"/>
      </w:pPr>
    </w:p>
    <w:p>
      <w:pPr>
        <w:spacing w:after="160"/>
      </w:pPr>
      <w:r>
        <w:rPr>
          <w:rFonts w:ascii="Calibri" w:cs="Calibri" w:eastAsia="Calibri" w:hAnsi="Calibri"/>
          <w:color w:val="0B1220"/>
          <w:sz w:val="22"/>
          <w:szCs w:val="22"/>
        </w:rPr>
        <w:t xml:space="preserve">Defend, video: the published reference for physiological video-deepfake detection, DeepFakesON-Phys (BiDAlab, arXiv:2010.00400, reporting 98%+ AUC on Celeb-DF/DFDC), has never released its training code or pretrained weights — an open GitHub issue requesting them has gone unanswered since 2020. Rather than depend on a checkpoint that does not exist, we implemented a lightweight rPPG detector from the same underlying principle: real video of a living face carries a periodic pulse signal from blood-flow-driven skin color micro-changes, extracted here via a simplified POS transform; deepfake generation does not model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Video</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SNR (dB)</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Peak BPM</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Real reference video</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8.35</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70.3</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Deepfake video attack</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4.88</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70.3</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the SNR gap is directional and matches the hypothesis, but both clips resolved to the same peak BPM, which should not happen if the fake carried no physiological signal at all. This is reported as a proof-of-concept signal, not a validated production threshold — more real/fake pairs are needed before citing a specific cutoff.</w:t>
            </w:r>
          </w:p>
        </w:tc>
      </w:tr>
    </w:tbl>
    <w:p>
      <w:pPr>
        <w:spacing w:after="120"/>
      </w:pPr>
    </w:p>
    <w:p>
      <w:pPr>
        <w:pStyle w:val="Heading1"/>
        <w:spacing w:after="200" w:before="400"/>
      </w:pPr>
      <w:r>
        <w:t xml:space="preserve">6. Track D — Feedback-Loop Poisoning</w:t>
      </w:r>
    </w:p>
    <w:p>
      <w:pPr>
        <w:spacing w:after="160"/>
      </w:pPr>
      <w:r>
        <w:rPr>
          <w:rFonts w:ascii="Calibri" w:cs="Calibri" w:eastAsia="Calibri" w:hAnsi="Calibri"/>
          <w:color w:val="0B1220"/>
          <w:sz w:val="22"/>
          <w:szCs w:val="22"/>
        </w:rPr>
        <w:t xml:space="preserve">Identify: production fraud systems retrain on labels derived from operational rules, not ground truth — most commonly, "fraud" if a chargeback was filed, "legitimate" if none was filed within a review window. That second rule is an assumption, and it is an injection vector: an attacker who controls both ends of a transaction simply never disputes, and their fraud is silently labeled legitimate and trained on. Rather than evade the fraud model, this track attacks the model's own retraining pipeline — red-teaming our own Track A closed loop.</w:t>
      </w:r>
    </w:p>
    <w:p>
      <w:pPr>
        <w:spacing w:after="160"/>
      </w:pPr>
      <w:r>
        <w:rPr>
          <w:rFonts w:ascii="Calibri" w:cs="Calibri" w:eastAsia="Calibri" w:hAnsi="Calibri"/>
          <w:color w:val="0B1220"/>
          <w:sz w:val="22"/>
          <w:szCs w:val="22"/>
        </w:rPr>
        <w:t xml:space="preserve">Generate: two poisoning modes were built. Mode A ("silent fraud") confines fraud to a narrow feature region and mislabels it legitimate via the no-dispute-default rule. Mode B ("dispute flooding") files false disputes on legitimate transactions, mislabeling them as fraud.</w:t>
      </w:r>
    </w:p>
    <w:p>
      <w:pPr>
        <w:spacing w:after="160"/>
      </w:pPr>
      <w:r>
        <w:rPr>
          <w:rFonts w:ascii="Calibri" w:cs="Calibri" w:eastAsia="Calibri" w:hAnsi="Calibri"/>
          <w:color w:val="0B1220"/>
          <w:sz w:val="22"/>
          <w:szCs w:val="22"/>
        </w:rPr>
        <w:t xml:space="preserve">Defend: a disagreement-screening layer scores each incoming feedback row using the model trained before the batch arrived, combined with the label's provenance trust:</w:t>
      </w:r>
    </w:p>
    <w:p>
      <w:pPr>
        <w:spacing w:after="200"/>
      </w:pPr>
      <w:r>
        <w:rPr>
          <w:rFonts w:ascii="Consolas" w:cs="Consolas" w:eastAsia="Consolas" w:hAnsi="Consolas"/>
          <w:i/>
          <w:iCs/>
          <w:color w:val="0B1220"/>
          <w:sz w:val="22"/>
          <w:szCs w:val="22"/>
        </w:rPr>
        <w:t xml:space="preserve">suspicion = |model_score − supplied_label| × (1 − provenance_trust)</w:t>
      </w:r>
    </w:p>
    <w:p>
      <w:pPr>
        <w:spacing w:after="160"/>
      </w:pPr>
      <w:r>
        <w:rPr>
          <w:rFonts w:ascii="Calibri" w:cs="Calibri" w:eastAsia="Calibri" w:hAnsi="Calibri"/>
          <w:color w:val="0B1220"/>
          <w:sz w:val="22"/>
          <w:szCs w:val="22"/>
        </w:rPr>
        <w:t xml:space="preserve">This formula separates two cases that otherwise look identical: a genuinely-missed fraud an analyst later confirmed (high disagreement, trust = 1.0, suspicion = 0, correctly kept as a valuable hard example) versus an attacker's silent fraud auto-labeled legitimate (high disagreement, low trust, correctly quarantined).</w:t>
      </w:r>
    </w:p>
    <w:p>
      <w:pPr>
        <w:pStyle w:val="Heading2"/>
        <w:spacing w:after="150" w:before="300"/>
      </w:pPr>
      <w:r>
        <w:t xml:space="preserve">Results (real IEEE-CIS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Scenario</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Recall (overall)</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AUC (overall)</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Blind-spot recall</w:t>
            </w:r>
          </w:p>
        </w:tc>
      </w:tr>
      <w:tr>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Clean retrain</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0.811</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0.9357</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0.7643</w:t>
            </w:r>
          </w:p>
        </w:tc>
      </w:tr>
      <w:tr>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Poisoned retrain</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0.811</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0.9333</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0.7338</w:t>
            </w:r>
          </w:p>
        </w:tc>
      </w:tr>
      <w:tr>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Defended retrain</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0.8118</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0.9355</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0.7459</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overall AUC barely moves across all three scenarios (0.9357 → 0.9333 → 0.9355) — the damage is visible only when recall is measured inside the attacker's specific operating region. A monitoring dashboard watching only aggregate metrics would never detect this attack; this is the entire point of the track.</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Screening metric</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Result</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Mode B (dispute flooding) caught</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299 / 300 — 100%</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Mode A (silent fraud) caught</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275 / 600 — 46%</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Clean rows wrongly quarantined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0</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a first defense attempt — leave-cluster-out validation against a trusted holdout, the textbook poisoning defense — was built and tested first, and caught zero poison. A targeted backdoor creates a blind spot in a narrow region; if the holdout does not happen to contain fraud from that region, including the poison does not degrade holdout performance, so the screen stays silent. This generalizes: validation-set-based poison detection only sees poison in regions the validation set covers. Disagreement-screening was built specifically because of this finding.</w:t>
            </w:r>
          </w:p>
        </w:tc>
      </w:tr>
    </w:tbl>
    <w:p>
      <w:pPr>
        <w:spacing w:after="120"/>
      </w:pPr>
    </w:p>
    <w:p>
      <w:pPr>
        <w:pStyle w:val="Heading1"/>
        <w:spacing w:after="200" w:before="400"/>
      </w:pPr>
      <w:r>
        <w:t xml:space="preserve">7. Working Prototype</w:t>
      </w:r>
    </w:p>
    <w:p>
      <w:pPr>
        <w:spacing w:after="160"/>
      </w:pPr>
      <w:r>
        <w:rPr>
          <w:rFonts w:ascii="Calibri" w:cs="Calibri" w:eastAsia="Calibri" w:hAnsi="Calibri"/>
          <w:color w:val="0B1220"/>
          <w:sz w:val="22"/>
          <w:szCs w:val="22"/>
        </w:rPr>
        <w:t xml:space="preserve">The web dashboard presents every result above through an interactive interface, and goes further: wherever compute time allows, results are computed live rather than only displayed.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Component</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Status</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Detail</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Track A / D cycles</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Fresh random seed each run; real retrain completes in 1-3 seconds</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B agent + gate</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Real Ollama (qwen3:8b) call per run, 2-5 seconds</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Track C detection</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Real model inference on pre-generated media</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C generation</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Pre-computed</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Voice/video generation needs GPU-minutes and cannot run live in any team's demo — the same constraint applies universally; done via the included Colab notebook</w:t>
            </w:r>
          </w:p>
        </w:tc>
      </w:tr>
    </w:tbl>
    <w:p>
      <w:pPr>
        <w:spacing w:after="120"/>
      </w:pPr>
    </w:p>
    <w:p>
      <w:pPr>
        <w:spacing w:after="160"/>
      </w:pPr>
      <w:r>
        <w:rPr>
          <w:rFonts w:ascii="Calibri" w:cs="Calibri" w:eastAsia="Calibri" w:hAnsi="Calibri"/>
          <w:color w:val="0B1220"/>
          <w:sz w:val="22"/>
          <w:szCs w:val="22"/>
        </w:rPr>
        <w:t xml:space="preserve">Design principle: honesty about hardware constraints, live wherever compute time genuinely allows it. Reliability in front of judges matters more than live-compute theater — a backend that fails to connect mid-demo costs more credibility than a clearly-labeled pre-computed step ever would.</w:t>
      </w:r>
    </w:p>
    <w:p>
      <w:pPr>
        <w:pStyle w:val="Heading1"/>
        <w:spacing w:after="200" w:before="400"/>
      </w:pPr>
      <w:r>
        <w:t xml:space="preserve">8. Real-World Feasibility</w:t>
      </w:r>
    </w:p>
    <w:p>
      <w:pPr>
        <w:pStyle w:val="ListParagraph"/>
        <w:numPr>
          <w:ilvl w:val="0"/>
          <w:numId w:val="1"/>
        </w:numPr>
        <w:spacing w:after="120"/>
      </w:pPr>
      <w:r>
        <w:rPr>
          <w:rFonts w:ascii="Calibri" w:cs="Calibri" w:eastAsia="Calibri" w:hAnsi="Calibri"/>
          <w:sz w:val="21"/>
          <w:szCs w:val="21"/>
        </w:rPr>
        <w:t xml:space="preserve">Track B is built against a live industry surface, not a hypothetical — Mastercard's own Agent Pay Acceptance Framework, piloted with PayPal, is AP2-compatible, meaning the mandate-injection attack surface tested here is the one Mastercard is actively hardening right now.</w:t>
      </w:r>
    </w:p>
    <w:p>
      <w:pPr>
        <w:pStyle w:val="ListParagraph"/>
        <w:numPr>
          <w:ilvl w:val="0"/>
          <w:numId w:val="1"/>
        </w:numPr>
        <w:spacing w:after="120"/>
      </w:pPr>
      <w:r>
        <w:rPr>
          <w:rFonts w:ascii="Calibri" w:cs="Calibri" w:eastAsia="Calibri" w:hAnsi="Calibri"/>
          <w:sz w:val="21"/>
          <w:szCs w:val="21"/>
        </w:rPr>
        <w:t xml:space="preserve">Track D's disagreement-screening defense needs no new infrastructure to deploy — it requires only tagging existing feedback by provenance source and re-scoring against the pre-update model, both patterns already standard in most retraining pipelines.</w:t>
      </w:r>
    </w:p>
    <w:p>
      <w:pPr>
        <w:pStyle w:val="ListParagraph"/>
        <w:numPr>
          <w:ilvl w:val="0"/>
          <w:numId w:val="1"/>
        </w:numPr>
        <w:spacing w:after="120"/>
      </w:pPr>
      <w:r>
        <w:rPr>
          <w:rFonts w:ascii="Calibri" w:cs="Calibri" w:eastAsia="Calibri" w:hAnsi="Calibri"/>
          <w:sz w:val="21"/>
          <w:szCs w:val="21"/>
        </w:rPr>
        <w:t xml:space="preserve">Every defense in this submission is framed by what it actually holds up against, not oversold — the Reasoning Gate as blast-radius reduction rather than a guarantee, the rPPG detector as a proof-of-concept signal rather than a validated threshold. This is the credible framing for a technical evaluation panel.</w:t>
      </w:r>
    </w:p>
    <w:p>
      <w:pPr>
        <w:pStyle w:val="ListParagraph"/>
        <w:numPr>
          <w:ilvl w:val="0"/>
          <w:numId w:val="1"/>
        </w:numPr>
        <w:spacing w:after="200"/>
      </w:pPr>
      <w:r>
        <w:rPr>
          <w:rFonts w:ascii="Calibri" w:cs="Calibri" w:eastAsia="Calibri" w:hAnsi="Calibri"/>
          <w:sz w:val="21"/>
          <w:szCs w:val="21"/>
        </w:rPr>
        <w:t xml:space="preserve">All four tracks converge on one operational pattern: log what the defense misses, feed it back, re-evaluate against fresh attacks. One architecture generalized across four attack surfaces, not four disconnected demos.</w:t>
      </w:r>
    </w:p>
    <w:p>
      <w:pPr>
        <w:pStyle w:val="Heading1"/>
        <w:spacing w:after="200" w:before="400"/>
      </w:pPr>
      <w:r>
        <w:t xml:space="preserve">9. Judging Criteria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Criterion</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Where addressed</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Diversity of attacks identified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Four tracks spanning transaction evasion, mandate injection, voice/video deepfake, and label-stream poisoning</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Fidelity of attacks in simulation</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KS/PSI statistical fidelity (Track A); 99.998% pretrained-detector evasion (Track C)</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Detection algorithm efficacy</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Precision/recall/F1/AUC/FP-rate reported for every track, on real data and real model inference</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Novelty of the solution</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B targets Mastercard's own emerging Agent Pay surface; Track D is a self-referential attack on our own closed loop</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Real-world feasibility in live payments</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Blast-radius framing over overclaiming; the Track D defense is deployable without new infrastructure</w:t>
            </w:r>
          </w:p>
        </w:tc>
      </w:tr>
    </w:tbl>
    <w:p>
      <w:pPr>
        <w:pStyle w:val="Heading1"/>
        <w:spacing w:after="200" w:before="400"/>
      </w:pPr>
      <w:r>
        <w:t xml:space="preserve">10. Repository &amp; Reproducibility</w:t>
      </w:r>
    </w:p>
    <w:p>
      <w:pPr>
        <w:spacing w:after="160"/>
      </w:pPr>
      <w:r>
        <w:rPr>
          <w:rFonts w:ascii="Calibri" w:cs="Calibri" w:eastAsia="Calibri" w:hAnsi="Calibri"/>
          <w:color w:val="0B1220"/>
          <w:sz w:val="22"/>
          <w:szCs w:val="22"/>
        </w:rPr>
        <w:t xml:space="preserve">Nothing in this document was hand-picked or staged — the full code repository, the Track C Colab notebook, and the web prototype (static and live-backend modes) are all included and reproducible.</w:t>
      </w:r>
    </w:p>
    <w:p>
      <w:pPr>
        <w:spacing w:after="80"/>
      </w:pPr>
      <w:r>
        <w:rPr>
          <w:rFonts w:ascii="Calibri" w:cs="Calibri" w:eastAsia="Calibri" w:hAnsi="Calibri"/>
          <w:b/>
          <w:bCs/>
          <w:sz w:val="21"/>
          <w:szCs w:val="21"/>
        </w:rPr>
        <w:t xml:space="preserve">Code repository: </w:t>
      </w:r>
      <w:r>
        <w:rPr>
          <w:rFonts w:ascii="Calibri" w:cs="Calibri" w:eastAsia="Calibri" w:hAnsi="Calibri"/>
          <w:sz w:val="21"/>
          <w:szCs w:val="21"/>
        </w:rPr>
        <w:t xml:space="preserve">github.com/dpgaharwal/mastercard-defense-lab</w:t>
      </w:r>
    </w:p>
    <w:p>
      <w:pPr>
        <w:spacing w:after="80"/>
      </w:pPr>
      <w:r>
        <w:rPr>
          <w:rFonts w:ascii="Calibri" w:cs="Calibri" w:eastAsia="Calibri" w:hAnsi="Calibri"/>
          <w:b/>
          <w:bCs/>
          <w:sz w:val="21"/>
          <w:szCs w:val="21"/>
        </w:rPr>
        <w:t xml:space="preserve">Web prototype: </w:t>
      </w:r>
      <w:r>
        <w:rPr>
          <w:rFonts w:ascii="Calibri" w:cs="Calibri" w:eastAsia="Calibri" w:hAnsi="Calibri"/>
          <w:sz w:val="21"/>
          <w:szCs w:val="21"/>
        </w:rPr>
        <w:t xml:space="preserve">web/frontend/index.html — static, opens directly; live mode via web/backend (README included)</w:t>
      </w:r>
    </w:p>
    <w:p>
      <w:pPr>
        <w:spacing w:after="200"/>
      </w:pPr>
      <w:r>
        <w:rPr>
          <w:rFonts w:ascii="Calibri" w:cs="Calibri" w:eastAsia="Calibri" w:hAnsi="Calibri"/>
          <w:b/>
          <w:bCs/>
          <w:sz w:val="21"/>
          <w:szCs w:val="21"/>
        </w:rPr>
        <w:t xml:space="preserve">Track C notebook: </w:t>
      </w:r>
      <w:r>
        <w:rPr>
          <w:rFonts w:ascii="Calibri" w:cs="Calibri" w:eastAsia="Calibri" w:hAnsi="Calibri"/>
          <w:sz w:val="21"/>
          <w:szCs w:val="21"/>
        </w:rPr>
        <w:t xml:space="preserve">generate/track_c_deepfake/track_c_colab.ipynb (Google Colab, T4 GPU)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B1220"/>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9A7B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2026-08-22T17:19:45.310Z</dcterms:created>
  <dcterms:modified xsi:type="dcterms:W3CDTF">2026-08-22T17:19:45.327Z</dcterms:modified>
</cp:coreProperties>
</file>

<file path=docProps/custom.xml><?xml version="1.0" encoding="utf-8"?>
<Properties xmlns="http://schemas.openxmlformats.org/officeDocument/2006/custom-properties" xmlns:vt="http://schemas.openxmlformats.org/officeDocument/2006/docPropsVTypes"/>
</file>