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CollBar Build Spec: Attorney Workspace</w:t>
      </w:r>
    </w:p>
    <w:p>
      <w:pPr>
        <w:spacing w:after="60"/>
      </w:pPr>
      <w:r>
        <w:rPr>
          <w:color w:val="000000"/>
          <w:sz w:val="26"/>
          <w:szCs w:val="26"/>
        </w:rPr>
        <w:t xml:space="preserve">Prompt for Replit Agent</w:t>
      </w:r>
    </w:p>
    <w:p>
      <w:pPr>
        <w:spacing w:after="120"/>
      </w:pPr>
      <w:r>
        <w:t xml:space="preserve">Repository: </w:t>
      </w:r>
      <w:r>
        <w:rPr>
          <w:rFonts w:ascii="Courier New" w:cs="Courier New" w:eastAsia="Courier New" w:hAnsi="Courier New"/>
        </w:rPr>
        <w:t xml:space="preserve">dpgaus09/CollBar2026</w:t>
      </w:r>
      <w:r>
        <w:t xml:space="preserve">. This spec adds an authenticated attorney and consultant workspace alongside the existing CFO district dashboard. Both surfaces read the same underlying data. Build strictly one phase at a time and stop for human review at the end of each phase.</w:t>
      </w:r>
    </w:p>
    <w:p>
      <w:pPr>
        <w:pStyle w:val="Heading1"/>
      </w:pPr>
      <w:r>
        <w:t xml:space="preserve">1. Objective</w:t>
      </w:r>
    </w:p>
    <w:p>
      <w:pPr>
        <w:spacing w:after="120"/>
      </w:pPr>
      <w:r>
        <w:t xml:space="preserve">Add a multi-seat, authenticated workspace built for labor attorneys and multi-client labor relations consultants who work across many districts continuously. The unit of work changes from a single district to a book of clients and matters. The new workspace becomes the primary authenticated application. The current single-district CFO dashboard is preserved as a simpler read-only view that reads the same tables. Do not remove or rewrite the CFO dashboard.</w:t>
      </w:r>
    </w:p>
    <w:p>
      <w:pPr>
        <w:pStyle w:val="Heading1"/>
      </w:pPr>
      <w:r>
        <w:t xml:space="preserve">2. Product decision</w:t>
      </w:r>
    </w:p>
    <w:p>
      <w:pPr>
        <w:pStyle w:val="ListParagraph"/>
        <w:numPr>
          <w:ilvl w:val="0"/>
          <w:numId w:val="2"/>
        </w:numPr>
        <w:spacing w:after="60"/>
      </w:pPr>
      <w:r>
        <w:rPr>
          <w:b/>
          <w:bCs/>
        </w:rPr>
        <w:t xml:space="preserve">Attorney workspace is the main app. </w:t>
      </w:r>
      <w:r>
        <w:t xml:space="preserve">All new pages live under an authenticated workspace shell with firm context and a district and matter switcher.</w:t>
      </w:r>
    </w:p>
    <w:p>
      <w:pPr>
        <w:pStyle w:val="ListParagraph"/>
        <w:numPr>
          <w:ilvl w:val="0"/>
          <w:numId w:val="2"/>
        </w:numPr>
        <w:spacing w:after="60"/>
      </w:pPr>
      <w:r>
        <w:rPr>
          <w:b/>
          <w:bCs/>
        </w:rPr>
        <w:t xml:space="preserve">CFO dashboard stays. </w:t>
      </w:r>
      <w:r>
        <w:t xml:space="preserve">Keep the existing public district dashboard route working. It becomes a lighter read-only view off the same data, not a second product to maintain in parallel.</w:t>
      </w:r>
    </w:p>
    <w:p>
      <w:pPr>
        <w:pStyle w:val="ListParagraph"/>
        <w:numPr>
          <w:ilvl w:val="0"/>
          <w:numId w:val="2"/>
        </w:numPr>
        <w:spacing w:after="60"/>
      </w:pPr>
      <w:r>
        <w:rPr>
          <w:b/>
          <w:bCs/>
        </w:rPr>
        <w:t xml:space="preserve">One data spine. </w:t>
      </w:r>
      <w:r>
        <w:t xml:space="preserve">Both surfaces query the same tables. No data is duplicated per audience.</w:t>
      </w:r>
    </w:p>
    <w:p>
      <w:pPr>
        <w:pStyle w:val="Heading1"/>
      </w:pPr>
      <w:r>
        <w:t xml:space="preserve">3. What already exists (do not rebuild)</w:t>
      </w:r>
    </w:p>
    <w:p>
      <w:pPr>
        <w:spacing w:after="120"/>
      </w:pPr>
      <w:r>
        <w:t xml:space="preserve">Reuse the current stack and schema. The expensive assets, the corpus and the multi-state, provenance-tracked schema, are already built. This work is application and workflow layer plus the clause search layer plus real auth.</w:t>
      </w:r>
    </w:p>
    <w:p>
      <w:pPr>
        <w:pStyle w:val="ListParagraph"/>
        <w:numPr>
          <w:ilvl w:val="0"/>
          <w:numId w:val="2"/>
        </w:numPr>
        <w:spacing w:after="60"/>
      </w:pPr>
      <w:r>
        <w:t xml:space="preserve">Monorepo: pnpm workspaces, Node 24, TypeScript 5.9.</w:t>
      </w:r>
    </w:p>
    <w:p>
      <w:pPr>
        <w:pStyle w:val="ListParagraph"/>
        <w:numPr>
          <w:ilvl w:val="0"/>
          <w:numId w:val="2"/>
        </w:numPr>
        <w:spacing w:after="60"/>
      </w:pPr>
      <w:r>
        <w:t xml:space="preserve">Web: React 19 + Vite at </w:t>
      </w:r>
      <w:r>
        <w:rPr>
          <w:rFonts w:ascii="Courier New" w:cs="Courier New" w:eastAsia="Courier New" w:hAnsi="Courier New"/>
        </w:rPr>
        <w:t xml:space="preserve">artifacts/collbar-web</w:t>
      </w:r>
      <w:r>
        <w:t xml:space="preserve">, Tailwind, Wouter, TanStack Query.</w:t>
      </w:r>
    </w:p>
    <w:p>
      <w:pPr>
        <w:pStyle w:val="ListParagraph"/>
        <w:numPr>
          <w:ilvl w:val="0"/>
          <w:numId w:val="2"/>
        </w:numPr>
        <w:spacing w:after="60"/>
      </w:pPr>
      <w:r>
        <w:t xml:space="preserve">API: Express 5 at </w:t>
      </w:r>
      <w:r>
        <w:rPr>
          <w:rFonts w:ascii="Courier New" w:cs="Courier New" w:eastAsia="Courier New" w:hAnsi="Courier New"/>
        </w:rPr>
        <w:t xml:space="preserve">artifacts/api-server</w:t>
      </w:r>
      <w:r>
        <w:t xml:space="preserve">. Routes in </w:t>
      </w:r>
      <w:r>
        <w:rPr>
          <w:rFonts w:ascii="Courier New" w:cs="Courier New" w:eastAsia="Courier New" w:hAnsi="Courier New"/>
        </w:rPr>
        <w:t xml:space="preserve">src/routes/</w:t>
      </w:r>
      <w:r>
        <w:t xml:space="preserve"> (</w:t>
      </w:r>
      <w:r>
        <w:rPr>
          <w:rFonts w:ascii="Courier New" w:cs="Courier New" w:eastAsia="Courier New" w:hAnsi="Courier New"/>
        </w:rPr>
        <w:t xml:space="preserve">admin.ts</w:t>
      </w:r>
      <w:r>
        <w:t xml:space="preserve">, </w:t>
      </w:r>
      <w:r>
        <w:rPr>
          <w:rFonts w:ascii="Courier New" w:cs="Courier New" w:eastAsia="Courier New" w:hAnsi="Courier New"/>
        </w:rPr>
        <w:t xml:space="preserve">dashboard.ts</w:t>
      </w:r>
      <w:r>
        <w:t xml:space="preserve">).</w:t>
      </w:r>
    </w:p>
    <w:p>
      <w:pPr>
        <w:pStyle w:val="ListParagraph"/>
        <w:numPr>
          <w:ilvl w:val="0"/>
          <w:numId w:val="2"/>
        </w:numPr>
        <w:spacing w:after="60"/>
      </w:pPr>
      <w:r>
        <w:t xml:space="preserve">DB: PostgreSQL + Drizzle ORM. Schema source of truth in </w:t>
      </w:r>
      <w:r>
        <w:rPr>
          <w:rFonts w:ascii="Courier New" w:cs="Courier New" w:eastAsia="Courier New" w:hAnsi="Courier New"/>
        </w:rPr>
        <w:t xml:space="preserve">lib/db/src/schema/</w:t>
      </w:r>
      <w:r>
        <w:t xml:space="preserve">.</w:t>
      </w:r>
    </w:p>
    <w:p>
      <w:pPr>
        <w:pStyle w:val="ListParagraph"/>
        <w:numPr>
          <w:ilvl w:val="0"/>
          <w:numId w:val="2"/>
        </w:numPr>
        <w:spacing w:after="60"/>
      </w:pPr>
      <w:r>
        <w:t xml:space="preserve">Existing tables include </w:t>
      </w:r>
      <w:r>
        <w:rPr>
          <w:rFonts w:ascii="Courier New" w:cs="Courier New" w:eastAsia="Courier New" w:hAnsi="Courier New"/>
        </w:rPr>
        <w:t xml:space="preserve">districts</w:t>
      </w:r>
      <w:r>
        <w:t xml:space="preserve">, </w:t>
      </w:r>
      <w:r>
        <w:rPr>
          <w:rFonts w:ascii="Courier New" w:cs="Courier New" w:eastAsia="Courier New" w:hAnsi="Courier New"/>
        </w:rPr>
        <w:t xml:space="preserve">source_documents</w:t>
      </w:r>
      <w:r>
        <w:t xml:space="preserve">, </w:t>
      </w:r>
      <w:r>
        <w:rPr>
          <w:rFonts w:ascii="Courier New" w:cs="Courier New" w:eastAsia="Courier New" w:hAnsi="Courier New"/>
        </w:rPr>
        <w:t xml:space="preserve">contracts</w:t>
      </w:r>
      <w:r>
        <w:t xml:space="preserve">, </w:t>
      </w:r>
      <w:r>
        <w:rPr>
          <w:rFonts w:ascii="Courier New" w:cs="Courier New" w:eastAsia="Courier New" w:hAnsi="Courier New"/>
        </w:rPr>
        <w:t xml:space="preserve">contract_provisions</w:t>
      </w:r>
      <w:r>
        <w:t xml:space="preserve">, </w:t>
      </w:r>
      <w:r>
        <w:rPr>
          <w:rFonts w:ascii="Courier New" w:cs="Courier New" w:eastAsia="Courier New" w:hAnsi="Courier New"/>
        </w:rPr>
        <w:t xml:space="preserve">settlements</w:t>
      </w:r>
      <w:r>
        <w:t xml:space="preserve">, </w:t>
      </w:r>
      <w:r>
        <w:rPr>
          <w:rFonts w:ascii="Courier New" w:cs="Courier New" w:eastAsia="Courier New" w:hAnsi="Courier New"/>
        </w:rPr>
        <w:t xml:space="preserve">factfinding_proposals</w:t>
      </w:r>
      <w:r>
        <w:t xml:space="preserve">, </w:t>
      </w:r>
      <w:r>
        <w:rPr>
          <w:rFonts w:ascii="Courier New" w:cs="Courier New" w:eastAsia="Courier New" w:hAnsi="Courier New"/>
        </w:rPr>
        <w:t xml:space="preserve">extraction_runs</w:t>
      </w:r>
      <w:r>
        <w:t xml:space="preserve">, </w:t>
      </w:r>
      <w:r>
        <w:rPr>
          <w:rFonts w:ascii="Courier New" w:cs="Courier New" w:eastAsia="Courier New" w:hAnsi="Courier New"/>
        </w:rPr>
        <w:t xml:space="preserve">users</w:t>
      </w:r>
      <w:r>
        <w:t xml:space="preserve">, </w:t>
      </w:r>
      <w:r>
        <w:rPr>
          <w:rFonts w:ascii="Courier New" w:cs="Courier New" w:eastAsia="Courier New" w:hAnsi="Courier New"/>
        </w:rPr>
        <w:t xml:space="preserve">alerts</w:t>
      </w:r>
      <w:r>
        <w:t xml:space="preserve">.</w:t>
      </w:r>
    </w:p>
    <w:p>
      <w:pPr>
        <w:pStyle w:val="ListParagraph"/>
        <w:numPr>
          <w:ilvl w:val="0"/>
          <w:numId w:val="2"/>
        </w:numPr>
        <w:spacing w:after="60"/>
      </w:pPr>
      <w:r>
        <w:t xml:space="preserve">Provenance model already exists: every extracted value traces </w:t>
      </w:r>
      <w:r>
        <w:rPr>
          <w:rFonts w:ascii="Courier New" w:cs="Courier New" w:eastAsia="Courier New" w:hAnsi="Courier New"/>
        </w:rPr>
        <w:t xml:space="preserve">source_doc_id</w:t>
      </w:r>
      <w:r>
        <w:t xml:space="preserve"> to </w:t>
      </w:r>
      <w:r>
        <w:rPr>
          <w:rFonts w:ascii="Courier New" w:cs="Courier New" w:eastAsia="Courier New" w:hAnsi="Courier New"/>
        </w:rPr>
        <w:t xml:space="preserve">source_documents</w:t>
      </w:r>
      <w:r>
        <w:t xml:space="preserve"> (</w:t>
      </w:r>
      <w:r>
        <w:rPr>
          <w:rFonts w:ascii="Courier New" w:cs="Courier New" w:eastAsia="Courier New" w:hAnsi="Courier New"/>
        </w:rPr>
        <w:t xml:space="preserve">source_url</w:t>
      </w:r>
      <w:r>
        <w:t xml:space="preserve">, </w:t>
      </w:r>
      <w:r>
        <w:rPr>
          <w:rFonts w:ascii="Courier New" w:cs="Courier New" w:eastAsia="Courier New" w:hAnsi="Courier New"/>
        </w:rPr>
        <w:t xml:space="preserve">file_hash</w:t>
      </w:r>
      <w:r>
        <w:t xml:space="preserve">, </w:t>
      </w:r>
      <w:r>
        <w:rPr>
          <w:rFonts w:ascii="Courier New" w:cs="Courier New" w:eastAsia="Courier New" w:hAnsi="Courier New"/>
        </w:rPr>
        <w:t xml:space="preserve">retrieved_at</w:t>
      </w:r>
      <w:r>
        <w:t xml:space="preserve">). PDF blobs live in object storage, metadata and keys in Postgres. Reuse this chain everywhere.</w:t>
      </w:r>
    </w:p>
    <w:p>
      <w:pPr>
        <w:pStyle w:val="ListParagraph"/>
        <w:numPr>
          <w:ilvl w:val="0"/>
          <w:numId w:val="2"/>
        </w:numPr>
        <w:spacing w:after="60"/>
      </w:pPr>
      <w:r>
        <w:t xml:space="preserve">Confidence gating already exists: values with </w:t>
      </w:r>
      <w:r>
        <w:rPr>
          <w:rFonts w:ascii="Courier New" w:cs="Courier New" w:eastAsia="Courier New" w:hAnsi="Courier New"/>
        </w:rPr>
        <w:t xml:space="preserve">confidence &lt; 0.8</w:t>
      </w:r>
      <w:r>
        <w:t xml:space="preserve"> are flagged </w:t>
      </w:r>
      <w:r>
        <w:rPr>
          <w:rFonts w:ascii="Courier New" w:cs="Courier New" w:eastAsia="Courier New" w:hAnsi="Courier New"/>
        </w:rPr>
        <w:t xml:space="preserve">human_verified = false</w:t>
      </w:r>
      <w:r>
        <w:t xml:space="preserve"> and surfaced in the admin review queue.</w:t>
      </w:r>
    </w:p>
    <w:p>
      <w:pPr>
        <w:pStyle w:val="ListParagraph"/>
        <w:numPr>
          <w:ilvl w:val="0"/>
          <w:numId w:val="2"/>
        </w:numPr>
        <w:spacing w:after="60"/>
      </w:pPr>
      <w:r>
        <w:t xml:space="preserve">API contracts: OpenAPI at </w:t>
      </w:r>
      <w:r>
        <w:rPr>
          <w:rFonts w:ascii="Courier New" w:cs="Courier New" w:eastAsia="Courier New" w:hAnsi="Courier New"/>
        </w:rPr>
        <w:t xml:space="preserve">lib/api-spec/openapi.yaml</w:t>
      </w:r>
      <w:r>
        <w:t xml:space="preserve">. Hooks and Zod schemas generated by Orval.</w:t>
      </w:r>
    </w:p>
    <w:p>
      <w:pPr>
        <w:pStyle w:val="Heading1"/>
      </w:pPr>
      <w:r>
        <w:t xml:space="preserve">4. Non-negotiable guardrails</w:t>
      </w:r>
    </w:p>
    <w:p>
      <w:pPr>
        <w:pStyle w:val="ListParagraph"/>
        <w:numPr>
          <w:ilvl w:val="0"/>
          <w:numId w:val="2"/>
        </w:numPr>
        <w:spacing w:after="60"/>
      </w:pPr>
      <w:r>
        <w:rPr>
          <w:b/>
          <w:bCs/>
        </w:rPr>
        <w:t xml:space="preserve">Schema changes are dual-declared. </w:t>
      </w:r>
      <w:r>
        <w:t xml:space="preserve">Declare every new table and column in </w:t>
      </w:r>
      <w:r>
        <w:rPr>
          <w:rFonts w:ascii="Courier New" w:cs="Courier New" w:eastAsia="Courier New" w:hAnsi="Courier New"/>
        </w:rPr>
        <w:t xml:space="preserve">lib/db/src/schema/*.ts</w:t>
      </w:r>
      <w:r>
        <w:t xml:space="preserve"> AND add an idempotent </w:t>
      </w:r>
      <w:r>
        <w:rPr>
          <w:rFonts w:ascii="Courier New" w:cs="Courier New" w:eastAsia="Courier New" w:hAnsi="Courier New"/>
        </w:rPr>
        <w:t xml:space="preserve">ADD COLUMN IF NOT EXISTS</w:t>
      </w:r>
      <w:r>
        <w:t xml:space="preserve"> or </w:t>
      </w:r>
      <w:r>
        <w:rPr>
          <w:rFonts w:ascii="Courier New" w:cs="Courier New" w:eastAsia="Courier New" w:hAnsi="Courier New"/>
        </w:rPr>
        <w:t xml:space="preserve">CREATE TABLE IF NOT EXISTS</w:t>
      </w:r>
      <w:r>
        <w:t xml:space="preserve"> migration to the API server </w:t>
      </w:r>
      <w:r>
        <w:rPr>
          <w:rFonts w:ascii="Courier New" w:cs="Courier New" w:eastAsia="Courier New" w:hAnsi="Courier New"/>
        </w:rPr>
        <w:t xml:space="preserve">runMigrations()</w:t>
      </w:r>
      <w:r>
        <w:t xml:space="preserve"> in </w:t>
      </w:r>
      <w:r>
        <w:rPr>
          <w:rFonts w:ascii="Courier New" w:cs="Courier New" w:eastAsia="Courier New" w:hAnsi="Courier New"/>
        </w:rPr>
        <w:t xml:space="preserve">artifacts/api-server/src/app.ts</w:t>
      </w:r>
      <w:r>
        <w:t xml:space="preserve">. Then verify with </w:t>
      </w:r>
      <w:r>
        <w:rPr>
          <w:rFonts w:ascii="Courier New" w:cs="Courier New" w:eastAsia="Courier New" w:hAnsi="Courier New"/>
        </w:rPr>
        <w:t xml:space="preserve">pnpm --filter @workspace/db run check-drift</w:t>
      </w:r>
      <w:r>
        <w:t xml:space="preserve">.</w:t>
      </w:r>
    </w:p>
    <w:p>
      <w:pPr>
        <w:pStyle w:val="ListParagraph"/>
        <w:numPr>
          <w:ilvl w:val="0"/>
          <w:numId w:val="2"/>
        </w:numPr>
        <w:spacing w:after="60"/>
      </w:pPr>
      <w:r>
        <w:rPr>
          <w:b/>
          <w:bCs/>
        </w:rPr>
        <w:t xml:space="preserve">Never run </w:t>
      </w:r>
      <w:r>
        <w:rPr>
          <w:rFonts w:ascii="Courier New" w:cs="Courier New" w:eastAsia="Courier New" w:hAnsi="Courier New"/>
        </w:rPr>
        <w:t xml:space="preserve">drizzle-kit push --force</w:t>
      </w:r>
      <w:r>
        <w:rPr>
          <w:b/>
          <w:bCs/>
        </w:rPr>
        <w:t xml:space="preserve">. </w:t>
      </w:r>
      <w:r>
        <w:t xml:space="preserve">This database contains tables Drizzle does not manage. A force push will truncate or drop data.</w:t>
      </w:r>
    </w:p>
    <w:p>
      <w:pPr>
        <w:pStyle w:val="ListParagraph"/>
        <w:numPr>
          <w:ilvl w:val="0"/>
          <w:numId w:val="2"/>
        </w:numPr>
        <w:spacing w:after="60"/>
      </w:pPr>
      <w:r>
        <w:rPr>
          <w:b/>
          <w:bCs/>
        </w:rPr>
        <w:t xml:space="preserve">Regenerate after spec changes. </w:t>
      </w:r>
      <w:r>
        <w:t xml:space="preserve">Run </w:t>
      </w:r>
      <w:r>
        <w:rPr>
          <w:rFonts w:ascii="Courier New" w:cs="Courier New" w:eastAsia="Courier New" w:hAnsi="Courier New"/>
        </w:rPr>
        <w:t xml:space="preserve">pnpm --filter @workspace/api-spec run codegen</w:t>
      </w:r>
      <w:r>
        <w:t xml:space="preserve"> after any edit to </w:t>
      </w:r>
      <w:r>
        <w:rPr>
          <w:rFonts w:ascii="Courier New" w:cs="Courier New" w:eastAsia="Courier New" w:hAnsi="Courier New"/>
        </w:rPr>
        <w:t xml:space="preserve">openapi.yaml</w:t>
      </w:r>
      <w:r>
        <w:t xml:space="preserve">.</w:t>
      </w:r>
    </w:p>
    <w:p>
      <w:pPr>
        <w:pStyle w:val="ListParagraph"/>
        <w:numPr>
          <w:ilvl w:val="0"/>
          <w:numId w:val="2"/>
        </w:numPr>
        <w:spacing w:after="60"/>
      </w:pPr>
      <w:r>
        <w:rPr>
          <w:b/>
          <w:bCs/>
        </w:rPr>
        <w:t xml:space="preserve">Python client is </w:t>
      </w:r>
      <w:r>
        <w:rPr>
          <w:rFonts w:ascii="Courier New" w:cs="Courier New" w:eastAsia="Courier New" w:hAnsi="Courier New"/>
        </w:rPr>
        <w:t xml:space="preserve">psycopg</w:t>
      </w:r>
      <w:r>
        <w:rPr>
          <w:b/>
          <w:bCs/>
        </w:rPr>
        <w:t xml:space="preserve">, not </w:t>
      </w:r>
      <w:r>
        <w:rPr>
          <w:rFonts w:ascii="Courier New" w:cs="Courier New" w:eastAsia="Courier New" w:hAnsi="Courier New"/>
        </w:rPr>
        <w:t xml:space="preserve">psycopg2</w:t>
      </w:r>
      <w:r>
        <w:rPr>
          <w:b/>
          <w:bCs/>
        </w:rPr>
        <w:t xml:space="preserve">. </w:t>
      </w:r>
      <w:r>
        <w:t xml:space="preserve">Run pipeline scripts with </w:t>
      </w:r>
      <w:r>
        <w:rPr>
          <w:rFonts w:ascii="Courier New" w:cs="Courier New" w:eastAsia="Courier New" w:hAnsi="Courier New"/>
        </w:rPr>
        <w:t xml:space="preserve">python3</w:t>
      </w:r>
      <w:r>
        <w:t xml:space="preserve">.</w:t>
      </w:r>
    </w:p>
    <w:p>
      <w:pPr>
        <w:pStyle w:val="ListParagraph"/>
        <w:numPr>
          <w:ilvl w:val="0"/>
          <w:numId w:val="2"/>
        </w:numPr>
        <w:spacing w:after="60"/>
      </w:pPr>
      <w:r>
        <w:rPr>
          <w:b/>
          <w:bCs/>
        </w:rPr>
        <w:t xml:space="preserve">Never fabricate data. </w:t>
      </w:r>
      <w:r>
        <w:t xml:space="preserve">Do not insert placeholder or real-looking values. Surface errors explicitly. Empty is correct when there is no source.</w:t>
      </w:r>
    </w:p>
    <w:p>
      <w:pPr>
        <w:pStyle w:val="ListParagraph"/>
        <w:numPr>
          <w:ilvl w:val="0"/>
          <w:numId w:val="2"/>
        </w:numPr>
        <w:spacing w:after="60"/>
      </w:pPr>
      <w:r>
        <w:rPr>
          <w:b/>
          <w:bCs/>
        </w:rPr>
        <w:t xml:space="preserve">Citations are mandatory. </w:t>
      </w:r>
      <w:r>
        <w:t xml:space="preserve">Every value and every clause shown to a user must carry its provenance (district, </w:t>
      </w:r>
      <w:r>
        <w:rPr>
          <w:rFonts w:ascii="Courier New" w:cs="Courier New" w:eastAsia="Courier New" w:hAnsi="Courier New"/>
        </w:rPr>
        <w:t xml:space="preserve">source_url</w:t>
      </w:r>
      <w:r>
        <w:t xml:space="preserve">, page, </w:t>
      </w:r>
      <w:r>
        <w:rPr>
          <w:rFonts w:ascii="Courier New" w:cs="Courier New" w:eastAsia="Courier New" w:hAnsi="Courier New"/>
        </w:rPr>
        <w:t xml:space="preserve">retrieved_at</w:t>
      </w:r>
      <w:r>
        <w:t xml:space="preserve">, and the originating </w:t>
      </w:r>
      <w:r>
        <w:rPr>
          <w:rFonts w:ascii="Courier New" w:cs="Courier New" w:eastAsia="Courier New" w:hAnsi="Courier New"/>
        </w:rPr>
        <w:t xml:space="preserve">provision_id</w:t>
      </w:r>
      <w:r>
        <w:t xml:space="preserve"> or </w:t>
      </w:r>
      <w:r>
        <w:rPr>
          <w:rFonts w:ascii="Courier New" w:cs="Courier New" w:eastAsia="Courier New" w:hAnsi="Courier New"/>
        </w:rPr>
        <w:t xml:space="preserve">settlement</w:t>
      </w:r>
      <w:r>
        <w:t xml:space="preserve"> row). If it cannot be cited, do not show it.</w:t>
      </w:r>
    </w:p>
    <w:p>
      <w:pPr>
        <w:pStyle w:val="ListParagraph"/>
        <w:numPr>
          <w:ilvl w:val="0"/>
          <w:numId w:val="2"/>
        </w:numPr>
        <w:spacing w:after="60"/>
      </w:pPr>
      <w:r>
        <w:rPr>
          <w:b/>
          <w:bCs/>
        </w:rPr>
        <w:t xml:space="preserve">Stay descriptive and neutral. </w:t>
      </w:r>
      <w:r>
        <w:t xml:space="preserve">All output describes what districts have agreed to, with citations. Never generate prescriptive advice on what a party should pay or demand. Present identical data to union-side and management-side users.</w:t>
      </w:r>
    </w:p>
    <w:p>
      <w:pPr>
        <w:pStyle w:val="ListParagraph"/>
        <w:numPr>
          <w:ilvl w:val="0"/>
          <w:numId w:val="2"/>
        </w:numPr>
        <w:spacing w:after="60"/>
      </w:pPr>
      <w:r>
        <w:rPr>
          <w:b/>
          <w:bCs/>
        </w:rPr>
        <w:t xml:space="preserve">Phase gates. </w:t>
      </w:r>
      <w:r>
        <w:t xml:space="preserve">Build one phase at a time. At the end of each phase print an acceptance summary table of row counts and stop for human review before starting the next phase.</w:t>
      </w:r>
    </w:p>
    <w:p>
      <w:pPr>
        <w:pStyle w:val="Heading1"/>
      </w:pPr>
      <w:r>
        <w:t xml:space="preserve">5. Build order</w:t>
      </w:r>
    </w:p>
    <w:p>
      <w:pPr>
        <w:pStyle w:val="ListParagraph"/>
        <w:numPr>
          <w:ilvl w:val="0"/>
          <w:numId w:val="3"/>
        </w:numPr>
        <w:spacing w:after="60"/>
      </w:pPr>
      <w:r>
        <w:rPr>
          <w:b/>
          <w:bCs/>
        </w:rPr>
        <w:t xml:space="preserve">Phase 1. </w:t>
      </w:r>
      <w:r>
        <w:t xml:space="preserve">Firm accounts and multi-seat authentication.</w:t>
      </w:r>
    </w:p>
    <w:p>
      <w:pPr>
        <w:pStyle w:val="ListParagraph"/>
        <w:numPr>
          <w:ilvl w:val="0"/>
          <w:numId w:val="3"/>
        </w:numPr>
        <w:spacing w:after="60"/>
      </w:pPr>
      <w:r>
        <w:rPr>
          <w:b/>
          <w:bCs/>
        </w:rPr>
        <w:t xml:space="preserve">Phase 2. </w:t>
      </w:r>
      <w:r>
        <w:t xml:space="preserve">Client roster and matters (the book of clients).</w:t>
      </w:r>
    </w:p>
    <w:p>
      <w:pPr>
        <w:pStyle w:val="ListParagraph"/>
        <w:numPr>
          <w:ilvl w:val="0"/>
          <w:numId w:val="3"/>
        </w:numPr>
        <w:spacing w:after="60"/>
      </w:pPr>
      <w:r>
        <w:rPr>
          <w:b/>
          <w:bCs/>
        </w:rPr>
        <w:t xml:space="preserve">Phase 3. </w:t>
      </w:r>
      <w:r>
        <w:t xml:space="preserve">Cross-district comparison matrix.</w:t>
      </w:r>
    </w:p>
    <w:p>
      <w:pPr>
        <w:pStyle w:val="ListParagraph"/>
        <w:numPr>
          <w:ilvl w:val="0"/>
          <w:numId w:val="3"/>
        </w:numPr>
        <w:spacing w:after="60"/>
      </w:pPr>
      <w:r>
        <w:rPr>
          <w:b/>
          <w:bCs/>
        </w:rPr>
        <w:t xml:space="preserve">Phase 4. </w:t>
      </w:r>
      <w:r>
        <w:t xml:space="preserve">Clause search and side-by-side language comparison.</w:t>
      </w:r>
    </w:p>
    <w:p>
      <w:pPr>
        <w:pStyle w:val="ListParagraph"/>
        <w:numPr>
          <w:ilvl w:val="0"/>
          <w:numId w:val="3"/>
        </w:numPr>
        <w:spacing w:after="60"/>
      </w:pPr>
      <w:r>
        <w:rPr>
          <w:b/>
          <w:bCs/>
        </w:rPr>
        <w:t xml:space="preserve">Phase 5. </w:t>
      </w:r>
      <w:r>
        <w:t xml:space="preserve">Work-product export to Word and PDF with provenance.</w:t>
      </w:r>
    </w:p>
    <w:p>
      <w:pPr>
        <w:pStyle w:val="ListParagraph"/>
        <w:numPr>
          <w:ilvl w:val="0"/>
          <w:numId w:val="3"/>
        </w:numPr>
        <w:spacing w:after="60"/>
      </w:pPr>
      <w:r>
        <w:rPr>
          <w:b/>
          <w:bCs/>
        </w:rPr>
        <w:t xml:space="preserve">Phase 6. </w:t>
      </w:r>
      <w:r>
        <w:t xml:space="preserve">Settlement alerts on tracked districts.</w:t>
      </w:r>
    </w:p>
    <w:p>
      <w:pPr>
        <w:pStyle w:val="ListParagraph"/>
        <w:numPr>
          <w:ilvl w:val="0"/>
          <w:numId w:val="3"/>
        </w:numPr>
        <w:spacing w:after="60"/>
      </w:pPr>
      <w:r>
        <w:rPr>
          <w:b/>
          <w:bCs/>
        </w:rPr>
        <w:t xml:space="preserve">Phase 7. </w:t>
      </w:r>
      <w:r>
        <w:t xml:space="preserve">Preserve the CFO dashboard as a read-only view.</w:t>
      </w:r>
    </w:p>
    <w:p>
      <w:pPr>
        <w:pStyle w:val="Heading1"/>
      </w:pPr>
      <w:r>
        <w:t xml:space="preserve">6. Data model additions</w:t>
      </w:r>
    </w:p>
    <w:p>
      <w:pPr>
        <w:spacing w:after="120"/>
      </w:pPr>
      <w:r>
        <w:t xml:space="preserve">Add the following tables in </w:t>
      </w:r>
      <w:r>
        <w:rPr>
          <w:rFonts w:ascii="Courier New" w:cs="Courier New" w:eastAsia="Courier New" w:hAnsi="Courier New"/>
        </w:rPr>
        <w:t xml:space="preserve">lib/db/src/schema/</w:t>
      </w:r>
      <w:r>
        <w:t xml:space="preserve">. Use snake_case, foreign keys to existing tables, and </w:t>
      </w:r>
      <w:r>
        <w:rPr>
          <w:rFonts w:ascii="Courier New" w:cs="Courier New" w:eastAsia="Courier New" w:hAnsi="Courier New"/>
        </w:rPr>
        <w:t xml:space="preserve">created_at timestamptz default now()</w:t>
      </w:r>
      <w:r>
        <w:t xml:space="preserve"> on each. Reconcile alert subscriptions with the existing </w:t>
      </w:r>
      <w:r>
        <w:rPr>
          <w:rFonts w:ascii="Courier New" w:cs="Courier New" w:eastAsia="Courier New" w:hAnsi="Courier New"/>
        </w:rPr>
        <w:t xml:space="preserve">alerts</w:t>
      </w:r>
      <w:r>
        <w:t xml:space="preserve"> table rather than duplicating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60"/>
        <w:gridCol w:w="4100"/>
      </w:tblGrid>
      <w:tr>
        <w:trPr>
          <w:tblHeader/>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Purpose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Key columns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subscribing organization (law firm, consultancy, district, union).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name, plan_tier (state | region | national), created_at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firm_members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Links users to a firm with a role.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firm_id, user_id, role (firm_admin | member), unique(firm_id, user_id)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tracked_districts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firm's saved roster of districts.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firm_id, district_id, label, created_by, unique(firm_id, district_id)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matters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piece of work centered on one client district.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firm_id, name, primary_district_id, status (active | archived), created_by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matter_districts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Client and peer districts attached to a matter.</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matter_id, district_id, role (client | peer), pk(matter_id, district_id)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provision_search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Search acceleration for clause text (Phase 4).</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provision_id, tsv (tsvector, GIN indexed); optional embedding sidecar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Generated work-product artifacts.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firm_id, matter_id, type, format, object_key, generated_by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alert_subscriptions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What a firm watches for change.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firm_id, district_id, event_type (new_settlement | new_contract), unique(firm_id, district_id, event_type)</w:t>
            </w:r>
          </w:p>
        </w:tc>
      </w:tr>
    </w:tbl>
    <w:p>
      <w:pPr>
        <w:pStyle w:val="Heading1"/>
      </w:pPr>
      <w:r>
        <w:t xml:space="preserve">7. Phases</w:t>
      </w:r>
    </w:p>
    <w:p>
      <w:pPr>
        <w:pStyle w:val="Heading2"/>
      </w:pPr>
      <w:r>
        <w:t xml:space="preserve">Phase 1. Firm accounts and multi-seat authentication</w:t>
      </w:r>
    </w:p>
    <w:p>
      <w:pPr>
        <w:spacing w:after="120"/>
      </w:pPr>
      <w:r>
        <w:t xml:space="preserve">Stand up real per-user accounts inside firm workspaces. Keep the existing platform admin (magic-link plus ADMIN_TOKEN) separate and untouched; this is a new, parallel auth surface for paying customers.</w:t>
      </w:r>
    </w:p>
    <w:p>
      <w:pPr>
        <w:pStyle w:val="Heading3"/>
      </w:pPr>
      <w:r>
        <w:t xml:space="preserve">Schema</w:t>
      </w:r>
    </w:p>
    <w:p>
      <w:pPr>
        <w:pStyle w:val="ListParagraph"/>
        <w:numPr>
          <w:ilvl w:val="0"/>
          <w:numId w:val="2"/>
        </w:numPr>
        <w:spacing w:after="60"/>
      </w:pPr>
      <w:r>
        <w:t xml:space="preserve">Add </w:t>
      </w:r>
      <w:r>
        <w:rPr>
          <w:rFonts w:ascii="Courier New" w:cs="Courier New" w:eastAsia="Courier New" w:hAnsi="Courier New"/>
        </w:rPr>
        <w:t xml:space="preserve">firms</w:t>
      </w:r>
      <w:r>
        <w:t xml:space="preserve"> and </w:t>
      </w:r>
      <w:r>
        <w:rPr>
          <w:rFonts w:ascii="Courier New" w:cs="Courier New" w:eastAsia="Courier New" w:hAnsi="Courier New"/>
        </w:rPr>
        <w:t xml:space="preserve">firm_members</w:t>
      </w:r>
      <w:r>
        <w:t xml:space="preserve">. Reuse the existing </w:t>
      </w:r>
      <w:r>
        <w:rPr>
          <w:rFonts w:ascii="Courier New" w:cs="Courier New" w:eastAsia="Courier New" w:hAnsi="Courier New"/>
        </w:rPr>
        <w:t xml:space="preserve">users</w:t>
      </w:r>
      <w:r>
        <w:t xml:space="preserve"> table for identity.</w:t>
      </w:r>
    </w:p>
    <w:p>
      <w:pPr>
        <w:pStyle w:val="Heading3"/>
      </w:pPr>
      <w:r>
        <w:t xml:space="preserve">API</w:t>
      </w:r>
    </w:p>
    <w:p>
      <w:pPr>
        <w:spacing w:after="120"/>
      </w:pPr>
      <w:r>
        <w:t xml:space="preserve">New route file </w:t>
      </w:r>
      <w:r>
        <w:rPr>
          <w:rFonts w:ascii="Courier New" w:cs="Courier New" w:eastAsia="Courier New" w:hAnsi="Courier New"/>
        </w:rPr>
        <w:t xml:space="preserve">artifacts/api-server/src/routes/firm.ts</w:t>
      </w:r>
      <w:r>
        <w:t xml:space="preserve">. All firm routes are guarded by a new </w:t>
      </w:r>
      <w:r>
        <w:rPr>
          <w:rFonts w:ascii="Courier New" w:cs="Courier New" w:eastAsia="Courier New" w:hAnsi="Courier New"/>
        </w:rPr>
        <w:t xml:space="preserve">requireFirmSession</w:t>
      </w:r>
      <w:r>
        <w:t xml:space="preserve"> middleware that resolves the current user and their active firm and role.</w:t>
      </w:r>
    </w:p>
    <w:p>
      <w:pPr>
        <w:pStyle w:val="ListParagraph"/>
        <w:numPr>
          <w:ilvl w:val="0"/>
          <w:numId w:val="2"/>
        </w:numPr>
        <w:spacing w:after="60"/>
      </w:pPr>
      <w:r>
        <w:rPr>
          <w:rFonts w:ascii="Courier New" w:cs="Courier New" w:eastAsia="Courier New" w:hAnsi="Courier New"/>
        </w:rPr>
        <w:t xml:space="preserve">POST /auth/signup</w:t>
      </w:r>
      <w:r>
        <w:t xml:space="preserve"> creates a user and a firm, makes the user firm_admin.</w:t>
      </w:r>
    </w:p>
    <w:p>
      <w:pPr>
        <w:pStyle w:val="ListParagraph"/>
        <w:numPr>
          <w:ilvl w:val="0"/>
          <w:numId w:val="2"/>
        </w:numPr>
        <w:spacing w:after="60"/>
      </w:pPr>
      <w:r>
        <w:rPr>
          <w:rFonts w:ascii="Courier New" w:cs="Courier New" w:eastAsia="Courier New" w:hAnsi="Courier New"/>
        </w:rPr>
        <w:t xml:space="preserve">POST /auth/login</w:t>
      </w:r>
      <w:r>
        <w:t xml:space="preserve">, </w:t>
      </w:r>
      <w:r>
        <w:rPr>
          <w:rFonts w:ascii="Courier New" w:cs="Courier New" w:eastAsia="Courier New" w:hAnsi="Courier New"/>
        </w:rPr>
        <w:t xml:space="preserve">POST /auth/logout</w:t>
      </w:r>
      <w:r>
        <w:t xml:space="preserve">.</w:t>
      </w:r>
    </w:p>
    <w:p>
      <w:pPr>
        <w:pStyle w:val="ListParagraph"/>
        <w:numPr>
          <w:ilvl w:val="0"/>
          <w:numId w:val="2"/>
        </w:numPr>
        <w:spacing w:after="60"/>
      </w:pPr>
      <w:r>
        <w:rPr>
          <w:rFonts w:ascii="Courier New" w:cs="Courier New" w:eastAsia="Courier New" w:hAnsi="Courier New"/>
        </w:rPr>
        <w:t xml:space="preserve">POST /firm/invite</w:t>
      </w:r>
      <w:r>
        <w:t xml:space="preserve"> (firm_admin only) invites a member by email.</w:t>
      </w:r>
    </w:p>
    <w:p>
      <w:pPr>
        <w:pStyle w:val="ListParagraph"/>
        <w:numPr>
          <w:ilvl w:val="0"/>
          <w:numId w:val="2"/>
        </w:numPr>
        <w:spacing w:after="60"/>
      </w:pPr>
      <w:r>
        <w:t xml:space="preserve">Store passwords hashed (argon2 or bcrypt). Sessions via http-only, secure cookies. Never log secrets. Keep </w:t>
      </w:r>
      <w:r>
        <w:rPr>
          <w:rFonts w:ascii="Courier New" w:cs="Courier New" w:eastAsia="Courier New" w:hAnsi="Courier New"/>
        </w:rPr>
        <w:t xml:space="preserve">DATABASE_URL</w:t>
      </w:r>
      <w:r>
        <w:t xml:space="preserve">, </w:t>
      </w:r>
      <w:r>
        <w:rPr>
          <w:rFonts w:ascii="Courier New" w:cs="Courier New" w:eastAsia="Courier New" w:hAnsi="Courier New"/>
        </w:rPr>
        <w:t xml:space="preserve">ANTHROPIC_API_KEY</w:t>
      </w:r>
      <w:r>
        <w:t xml:space="preserve">, and session keys in Replit env only.</w:t>
      </w:r>
    </w:p>
    <w:p>
      <w:pPr>
        <w:pStyle w:val="Heading3"/>
      </w:pPr>
      <w:r>
        <w:t xml:space="preserve">Frontend</w:t>
      </w:r>
    </w:p>
    <w:p>
      <w:pPr>
        <w:pStyle w:val="ListParagraph"/>
        <w:numPr>
          <w:ilvl w:val="0"/>
          <w:numId w:val="2"/>
        </w:numPr>
        <w:spacing w:after="60"/>
      </w:pPr>
      <w:r>
        <w:t xml:space="preserve">Add </w:t>
      </w:r>
      <w:r>
        <w:rPr>
          <w:rFonts w:ascii="Courier New" w:cs="Courier New" w:eastAsia="Courier New" w:hAnsi="Courier New"/>
        </w:rPr>
        <w:t xml:space="preserve">/login</w:t>
      </w:r>
      <w:r>
        <w:t xml:space="preserve"> and </w:t>
      </w:r>
      <w:r>
        <w:rPr>
          <w:rFonts w:ascii="Courier New" w:cs="Courier New" w:eastAsia="Courier New" w:hAnsi="Courier New"/>
        </w:rPr>
        <w:t xml:space="preserve">/signup</w:t>
      </w:r>
      <w:r>
        <w:t xml:space="preserve"> pages and an authenticated workspace shell at </w:t>
      </w:r>
      <w:r>
        <w:rPr>
          <w:rFonts w:ascii="Courier New" w:cs="Courier New" w:eastAsia="Courier New" w:hAnsi="Courier New"/>
        </w:rPr>
        <w:t xml:space="preserve">/app</w:t>
      </w:r>
      <w:r>
        <w:t xml:space="preserve"> with the firm name and a sign-out control.</w:t>
      </w:r>
    </w:p>
    <w:p>
      <w:pPr>
        <w:pStyle w:val="Heading3"/>
      </w:pPr>
      <w:r>
        <w:t xml:space="preserve">Acceptance</w:t>
      </w:r>
    </w:p>
    <w:p>
      <w:pPr>
        <w:pStyle w:val="ListParagraph"/>
        <w:numPr>
          <w:ilvl w:val="0"/>
          <w:numId w:val="2"/>
        </w:numPr>
        <w:spacing w:after="60"/>
      </w:pPr>
      <w:r>
        <w:t xml:space="preserve">A new user can sign up, which creates a firm and makes them firm_admin.</w:t>
      </w:r>
    </w:p>
    <w:p>
      <w:pPr>
        <w:pStyle w:val="ListParagraph"/>
        <w:numPr>
          <w:ilvl w:val="0"/>
          <w:numId w:val="2"/>
        </w:numPr>
        <w:spacing w:after="60"/>
      </w:pPr>
      <w:r>
        <w:t xml:space="preserve">A firm_admin can invite a member; the member can log in and sees only their firm's workspace.</w:t>
      </w:r>
    </w:p>
    <w:p>
      <w:pPr>
        <w:pStyle w:val="ListParagraph"/>
        <w:numPr>
          <w:ilvl w:val="0"/>
          <w:numId w:val="2"/>
        </w:numPr>
        <w:spacing w:after="60"/>
      </w:pPr>
      <w:r>
        <w:t xml:space="preserve">Print a row-count table for </w:t>
      </w:r>
      <w:r>
        <w:rPr>
          <w:rFonts w:ascii="Courier New" w:cs="Courier New" w:eastAsia="Courier New" w:hAnsi="Courier New"/>
        </w:rPr>
        <w:t xml:space="preserve">firms</w:t>
      </w:r>
      <w:r>
        <w:t xml:space="preserve"> and </w:t>
      </w:r>
      <w:r>
        <w:rPr>
          <w:rFonts w:ascii="Courier New" w:cs="Courier New" w:eastAsia="Courier New" w:hAnsi="Courier New"/>
        </w:rPr>
        <w:t xml:space="preserve">firm_members</w:t>
      </w:r>
      <w:r>
        <w:t xml:space="preserve">. Run </w:t>
      </w:r>
      <w:r>
        <w:rPr>
          <w:rFonts w:ascii="Courier New" w:cs="Courier New" w:eastAsia="Courier New" w:hAnsi="Courier New"/>
        </w:rPr>
        <w:t xml:space="preserve">check-drift</w:t>
      </w:r>
      <w:r>
        <w:t xml:space="preserve"> clean. Stop for review.</w:t>
      </w:r>
    </w:p>
    <w:p>
      <w:pPr>
        <w:pStyle w:val="Heading2"/>
      </w:pPr>
      <w:r>
        <w:t xml:space="preserve">Phase 2. Client roster and matters</w:t>
      </w:r>
    </w:p>
    <w:p>
      <w:pPr>
        <w:spacing w:after="120"/>
      </w:pPr>
      <w:r>
        <w:t xml:space="preserve">Introduce the book-of-clients model so a consultant can pin the districts they work with and organize work into matters that pair a client district with its peers.</w:t>
      </w:r>
    </w:p>
    <w:p>
      <w:pPr>
        <w:pStyle w:val="Heading3"/>
      </w:pPr>
      <w:r>
        <w:t xml:space="preserve">Schema</w:t>
      </w:r>
    </w:p>
    <w:p>
      <w:pPr>
        <w:pStyle w:val="ListParagraph"/>
        <w:numPr>
          <w:ilvl w:val="0"/>
          <w:numId w:val="2"/>
        </w:numPr>
        <w:spacing w:after="60"/>
      </w:pPr>
      <w:r>
        <w:t xml:space="preserve">Add </w:t>
      </w:r>
      <w:r>
        <w:rPr>
          <w:rFonts w:ascii="Courier New" w:cs="Courier New" w:eastAsia="Courier New" w:hAnsi="Courier New"/>
        </w:rPr>
        <w:t xml:space="preserve">tracked_districts</w:t>
      </w:r>
      <w:r>
        <w:t xml:space="preserve">, </w:t>
      </w:r>
      <w:r>
        <w:rPr>
          <w:rFonts w:ascii="Courier New" w:cs="Courier New" w:eastAsia="Courier New" w:hAnsi="Courier New"/>
        </w:rPr>
        <w:t xml:space="preserve">matters</w:t>
      </w:r>
      <w:r>
        <w:t xml:space="preserve">, </w:t>
      </w:r>
      <w:r>
        <w:rPr>
          <w:rFonts w:ascii="Courier New" w:cs="Courier New" w:eastAsia="Courier New" w:hAnsi="Courier New"/>
        </w:rPr>
        <w:t xml:space="preserve">matter_districts</w:t>
      </w:r>
      <w:r>
        <w:t xml:space="preserve">.</w:t>
      </w:r>
    </w:p>
    <w:p>
      <w:pPr>
        <w:pStyle w:val="Heading3"/>
      </w:pPr>
      <w:r>
        <w:t xml:space="preserve">API</w:t>
      </w:r>
    </w:p>
    <w:p>
      <w:pPr>
        <w:pStyle w:val="ListParagraph"/>
        <w:numPr>
          <w:ilvl w:val="0"/>
          <w:numId w:val="2"/>
        </w:numPr>
        <w:spacing w:after="60"/>
      </w:pPr>
      <w:r>
        <w:rPr>
          <w:rFonts w:ascii="Courier New" w:cs="Courier New" w:eastAsia="Courier New" w:hAnsi="Courier New"/>
        </w:rPr>
        <w:t xml:space="preserve">GET/POST /firm/tracked-districts</w:t>
      </w:r>
      <w:r>
        <w:t xml:space="preserve">, </w:t>
      </w:r>
      <w:r>
        <w:rPr>
          <w:rFonts w:ascii="Courier New" w:cs="Courier New" w:eastAsia="Courier New" w:hAnsi="Courier New"/>
        </w:rPr>
        <w:t xml:space="preserve">DELETE /firm/tracked-districts/:id</w:t>
      </w:r>
      <w:r>
        <w:t xml:space="preserve">.</w:t>
      </w:r>
    </w:p>
    <w:p>
      <w:pPr>
        <w:pStyle w:val="ListParagraph"/>
        <w:numPr>
          <w:ilvl w:val="0"/>
          <w:numId w:val="2"/>
        </w:numPr>
        <w:spacing w:after="60"/>
      </w:pPr>
      <w:r>
        <w:rPr>
          <w:rFonts w:ascii="Courier New" w:cs="Courier New" w:eastAsia="Courier New" w:hAnsi="Courier New"/>
        </w:rPr>
        <w:t xml:space="preserve">GET/POST /firm/matters</w:t>
      </w:r>
      <w:r>
        <w:t xml:space="preserve">, </w:t>
      </w:r>
      <w:r>
        <w:rPr>
          <w:rFonts w:ascii="Courier New" w:cs="Courier New" w:eastAsia="Courier New" w:hAnsi="Courier New"/>
        </w:rPr>
        <w:t xml:space="preserve">GET /firm/matters/:id</w:t>
      </w:r>
      <w:r>
        <w:t xml:space="preserve">, </w:t>
      </w:r>
      <w:r>
        <w:rPr>
          <w:rFonts w:ascii="Courier New" w:cs="Courier New" w:eastAsia="Courier New" w:hAnsi="Courier New"/>
        </w:rPr>
        <w:t xml:space="preserve">PATCH /firm/matters/:id</w:t>
      </w:r>
      <w:r>
        <w:t xml:space="preserve">.</w:t>
      </w:r>
    </w:p>
    <w:p>
      <w:pPr>
        <w:pStyle w:val="ListParagraph"/>
        <w:numPr>
          <w:ilvl w:val="0"/>
          <w:numId w:val="2"/>
        </w:numPr>
        <w:spacing w:after="60"/>
      </w:pPr>
      <w:r>
        <w:rPr>
          <w:rFonts w:ascii="Courier New" w:cs="Courier New" w:eastAsia="Courier New" w:hAnsi="Courier New"/>
        </w:rPr>
        <w:t xml:space="preserve">POST /firm/matters/:id/districts</w:t>
      </w:r>
      <w:r>
        <w:t xml:space="preserve"> to attach a client or peer district.</w:t>
      </w:r>
    </w:p>
    <w:p>
      <w:pPr>
        <w:pStyle w:val="Heading3"/>
      </w:pPr>
      <w:r>
        <w:t xml:space="preserve">Frontend</w:t>
      </w:r>
    </w:p>
    <w:p>
      <w:pPr>
        <w:pStyle w:val="ListParagraph"/>
        <w:numPr>
          <w:ilvl w:val="0"/>
          <w:numId w:val="2"/>
        </w:numPr>
        <w:spacing w:after="60"/>
      </w:pPr>
      <w:r>
        <w:t xml:space="preserve">Add </w:t>
      </w:r>
      <w:r>
        <w:rPr>
          <w:rFonts w:ascii="Courier New" w:cs="Courier New" w:eastAsia="Courier New" w:hAnsi="Courier New"/>
        </w:rPr>
        <w:t xml:space="preserve">/app/matters</w:t>
      </w:r>
      <w:r>
        <w:t xml:space="preserve"> and </w:t>
      </w:r>
      <w:r>
        <w:rPr>
          <w:rFonts w:ascii="Courier New" w:cs="Courier New" w:eastAsia="Courier New" w:hAnsi="Courier New"/>
        </w:rPr>
        <w:t xml:space="preserve">/app/matters/:id</w:t>
      </w:r>
      <w:r>
        <w:t xml:space="preserve">. Add a district and matter switcher to the workspace shell so users move across their roster quickly.</w:t>
      </w:r>
    </w:p>
    <w:p>
      <w:pPr>
        <w:pStyle w:val="Heading3"/>
      </w:pPr>
      <w:r>
        <w:t xml:space="preserve">Acceptance</w:t>
      </w:r>
    </w:p>
    <w:p>
      <w:pPr>
        <w:pStyle w:val="ListParagraph"/>
        <w:numPr>
          <w:ilvl w:val="0"/>
          <w:numId w:val="2"/>
        </w:numPr>
        <w:spacing w:after="60"/>
      </w:pPr>
      <w:r>
        <w:t xml:space="preserve">A user can add districts to their roster, create a matter with one client and several peers, and switch active matter.</w:t>
      </w:r>
    </w:p>
    <w:p>
      <w:pPr>
        <w:pStyle w:val="ListParagraph"/>
        <w:numPr>
          <w:ilvl w:val="0"/>
          <w:numId w:val="2"/>
        </w:numPr>
        <w:spacing w:after="60"/>
      </w:pPr>
      <w:r>
        <w:t xml:space="preserve">Row-count table for the three new tables. </w:t>
      </w:r>
      <w:r>
        <w:rPr>
          <w:rFonts w:ascii="Courier New" w:cs="Courier New" w:eastAsia="Courier New" w:hAnsi="Courier New"/>
        </w:rPr>
        <w:t xml:space="preserve">check-drift</w:t>
      </w:r>
      <w:r>
        <w:t xml:space="preserve"> clean. Stop for review.</w:t>
      </w:r>
    </w:p>
    <w:p>
      <w:pPr>
        <w:pStyle w:val="Heading2"/>
      </w:pPr>
      <w:r>
        <w:t xml:space="preserve">Phase 3. Cross-district comparison matrix</w:t>
      </w:r>
    </w:p>
    <w:p>
      <w:pPr>
        <w:spacing w:after="120"/>
      </w:pPr>
      <w:r>
        <w:t xml:space="preserve">This is the primary attorney surface. Districts as rows, provisions as columns, the source clause one click away on any cell. The matrix is computed entirely from stored structured values. No LLM call is in this path.</w:t>
      </w:r>
    </w:p>
    <w:p>
      <w:pPr>
        <w:pStyle w:val="Heading3"/>
      </w:pPr>
      <w:r>
        <w:t xml:space="preserve">API</w:t>
      </w:r>
    </w:p>
    <w:p>
      <w:pPr>
        <w:spacing w:after="120"/>
      </w:pPr>
      <w:r>
        <w:rPr>
          <w:rFonts w:ascii="Courier New" w:cs="Courier New" w:eastAsia="Courier New" w:hAnsi="Courier New"/>
        </w:rPr>
        <w:t xml:space="preserve">POST /compare</w:t>
      </w:r>
      <w:r>
        <w:t xml:space="preserve"> with body </w:t>
      </w:r>
      <w:r>
        <w:rPr>
          <w:rFonts w:ascii="Courier New" w:cs="Courier New" w:eastAsia="Courier New" w:hAnsi="Courier New"/>
        </w:rPr>
        <w:t xml:space="preserve">{ district_ids[], provision_types[] }</w:t>
      </w:r>
      <w:r>
        <w:t xml:space="preserve">. Returns a matrix where each cell carries the value, the </w:t>
      </w:r>
      <w:r>
        <w:rPr>
          <w:rFonts w:ascii="Courier New" w:cs="Courier New" w:eastAsia="Courier New" w:hAnsi="Courier New"/>
        </w:rPr>
        <w:t xml:space="preserve">confidence</w:t>
      </w:r>
      <w:r>
        <w:t xml:space="preserve">, the </w:t>
      </w:r>
      <w:r>
        <w:rPr>
          <w:rFonts w:ascii="Courier New" w:cs="Courier New" w:eastAsia="Courier New" w:hAnsi="Courier New"/>
        </w:rPr>
        <w:t xml:space="preserve">human_verified</w:t>
      </w:r>
      <w:r>
        <w:t xml:space="preserve"> flag, and full provenance (</w:t>
      </w:r>
      <w:r>
        <w:rPr>
          <w:rFonts w:ascii="Courier New" w:cs="Courier New" w:eastAsia="Courier New" w:hAnsi="Courier New"/>
        </w:rPr>
        <w:t xml:space="preserve">provision_id</w:t>
      </w:r>
      <w:r>
        <w:t xml:space="preserve">, </w:t>
      </w:r>
      <w:r>
        <w:rPr>
          <w:rFonts w:ascii="Courier New" w:cs="Courier New" w:eastAsia="Courier New" w:hAnsi="Courier New"/>
        </w:rPr>
        <w:t xml:space="preserve">source_url</w:t>
      </w:r>
      <w:r>
        <w:t xml:space="preserve">, page, </w:t>
      </w:r>
      <w:r>
        <w:rPr>
          <w:rFonts w:ascii="Courier New" w:cs="Courier New" w:eastAsia="Courier New" w:hAnsi="Courier New"/>
        </w:rPr>
        <w:t xml:space="preserve">retrieved_at</w:t>
      </w:r>
      <w:r>
        <w:t xml:space="preserve">). Pull values from </w:t>
      </w:r>
      <w:r>
        <w:rPr>
          <w:rFonts w:ascii="Courier New" w:cs="Courier New" w:eastAsia="Courier New" w:hAnsi="Courier New"/>
        </w:rPr>
        <w:t xml:space="preserve">contract_provisions</w:t>
      </w:r>
      <w:r>
        <w:t xml:space="preserve"> and </w:t>
      </w:r>
      <w:r>
        <w:rPr>
          <w:rFonts w:ascii="Courier New" w:cs="Courier New" w:eastAsia="Courier New" w:hAnsi="Courier New"/>
        </w:rPr>
        <w:t xml:space="preserve">settlements</w:t>
      </w:r>
      <w:r>
        <w:t xml:space="preserve">.</w:t>
      </w:r>
    </w:p>
    <w:p>
      <w:pPr>
        <w:pStyle w:val="Heading3"/>
      </w:pPr>
      <w:r>
        <w:t xml:space="preserve">Frontend</w:t>
      </w:r>
    </w:p>
    <w:p>
      <w:pPr>
        <w:pStyle w:val="ListParagraph"/>
        <w:numPr>
          <w:ilvl w:val="0"/>
          <w:numId w:val="2"/>
        </w:numPr>
        <w:spacing w:after="60"/>
      </w:pPr>
      <w:r>
        <w:t xml:space="preserve">Add </w:t>
      </w:r>
      <w:r>
        <w:rPr>
          <w:rFonts w:ascii="Courier New" w:cs="Courier New" w:eastAsia="Courier New" w:hAnsi="Courier New"/>
        </w:rPr>
        <w:t xml:space="preserve">/app/compare</w:t>
      </w:r>
      <w:r>
        <w:t xml:space="preserve">. Pre-load district sets from the active matter or the roster. Clicking a cell opens the verbatim source clause and a link to the source PDF.</w:t>
      </w:r>
    </w:p>
    <w:p>
      <w:pPr>
        <w:pStyle w:val="ListParagraph"/>
        <w:numPr>
          <w:ilvl w:val="0"/>
          <w:numId w:val="2"/>
        </w:numPr>
        <w:spacing w:after="60"/>
      </w:pPr>
      <w:r>
        <w:t xml:space="preserve">Visibly mark any cell where </w:t>
      </w:r>
      <w:r>
        <w:rPr>
          <w:rFonts w:ascii="Courier New" w:cs="Courier New" w:eastAsia="Courier New" w:hAnsi="Courier New"/>
        </w:rPr>
        <w:t xml:space="preserve">human_verified = false</w:t>
      </w:r>
      <w:r>
        <w:t xml:space="preserve"> so users know it is machine-extracted and unreviewed.</w:t>
      </w:r>
    </w:p>
    <w:p>
      <w:pPr>
        <w:pStyle w:val="Heading3"/>
      </w:pPr>
      <w:r>
        <w:t xml:space="preserve">Acceptance</w:t>
      </w:r>
    </w:p>
    <w:p>
      <w:pPr>
        <w:pStyle w:val="ListParagraph"/>
        <w:numPr>
          <w:ilvl w:val="0"/>
          <w:numId w:val="2"/>
        </w:numPr>
        <w:spacing w:after="60"/>
      </w:pPr>
      <w:r>
        <w:t xml:space="preserve">Selecting a matter renders a populated matrix across its districts and a chosen set of provisions, with working cell-level citations.</w:t>
      </w:r>
    </w:p>
    <w:p>
      <w:pPr>
        <w:pStyle w:val="ListParagraph"/>
        <w:numPr>
          <w:ilvl w:val="0"/>
          <w:numId w:val="2"/>
        </w:numPr>
        <w:spacing w:after="60"/>
      </w:pPr>
      <w:r>
        <w:t xml:space="preserve">No fabricated cells. Missing data renders as empty with a clear indicator, never as an invented value. Stop for review.</w:t>
      </w:r>
    </w:p>
    <w:p>
      <w:pPr>
        <w:pStyle w:val="Heading2"/>
      </w:pPr>
      <w:r>
        <w:t xml:space="preserve">Phase 4. Clause search and side-by-side comparison</w:t>
      </w:r>
    </w:p>
    <w:p>
      <w:pPr>
        <w:spacing w:after="120"/>
      </w:pPr>
      <w:r>
        <w:t xml:space="preserve">This is the clause layer that does not exist yet and that the attorney audience pays for. Lawyers compare and draft language continuously. Retrieval first, then a single grounded model call. Every returned clause is verbatim and cited.</w:t>
      </w:r>
    </w:p>
    <w:p>
      <w:pPr>
        <w:pStyle w:val="Heading3"/>
      </w:pPr>
      <w:r>
        <w:t xml:space="preserve">Schema and retrieval</w:t>
      </w:r>
    </w:p>
    <w:p>
      <w:pPr>
        <w:pStyle w:val="ListParagraph"/>
        <w:numPr>
          <w:ilvl w:val="0"/>
          <w:numId w:val="2"/>
        </w:numPr>
        <w:spacing w:after="60"/>
      </w:pPr>
      <w:r>
        <w:t xml:space="preserve">Baseline: add a </w:t>
      </w:r>
      <w:r>
        <w:rPr>
          <w:rFonts w:ascii="Courier New" w:cs="Courier New" w:eastAsia="Courier New" w:hAnsi="Courier New"/>
        </w:rPr>
        <w:t xml:space="preserve">tsvector</w:t>
      </w:r>
      <w:r>
        <w:t xml:space="preserve"> over the clause text on </w:t>
      </w:r>
      <w:r>
        <w:rPr>
          <w:rFonts w:ascii="Courier New" w:cs="Courier New" w:eastAsia="Courier New" w:hAnsi="Courier New"/>
        </w:rPr>
        <w:t xml:space="preserve">contract_provisions</w:t>
      </w:r>
      <w:r>
        <w:t xml:space="preserve"> with a GIN index (</w:t>
      </w:r>
      <w:r>
        <w:rPr>
          <w:rFonts w:ascii="Courier New" w:cs="Courier New" w:eastAsia="Courier New" w:hAnsi="Courier New"/>
        </w:rPr>
        <w:t xml:space="preserve">provision_search</w:t>
      </w:r>
      <w:r>
        <w:t xml:space="preserve">). This gives fast keyword retrieval with no external dependency.</w:t>
      </w:r>
    </w:p>
    <w:p>
      <w:pPr>
        <w:pStyle w:val="ListParagraph"/>
        <w:numPr>
          <w:ilvl w:val="0"/>
          <w:numId w:val="2"/>
        </w:numPr>
        <w:spacing w:after="60"/>
      </w:pPr>
      <w:r>
        <w:t xml:space="preserve">Enhancement (optional, same phase): add a pgvector embedding sidecar for semantic recall, since the same concept is worded many ways. Confirm the embedding dimension matches the chosen model before indexing.</w:t>
      </w:r>
    </w:p>
    <w:p>
      <w:pPr>
        <w:pStyle w:val="Heading3"/>
      </w:pPr>
      <w:r>
        <w:t xml:space="preserve">API</w:t>
      </w:r>
    </w:p>
    <w:p>
      <w:pPr>
        <w:pStyle w:val="ListParagraph"/>
        <w:numPr>
          <w:ilvl w:val="0"/>
          <w:numId w:val="2"/>
        </w:numPr>
        <w:spacing w:after="60"/>
      </w:pPr>
      <w:r>
        <w:rPr>
          <w:rFonts w:ascii="Courier New" w:cs="Courier New" w:eastAsia="Courier New" w:hAnsi="Courier New"/>
        </w:rPr>
        <w:t xml:space="preserve">POST /clauses/search</w:t>
      </w:r>
      <w:r>
        <w:t xml:space="preserve"> with </w:t>
      </w:r>
      <w:r>
        <w:rPr>
          <w:rFonts w:ascii="Courier New" w:cs="Courier New" w:eastAsia="Courier New" w:hAnsi="Courier New"/>
        </w:rPr>
        <w:t xml:space="preserve">{ query, scope, provision_type? }</w:t>
      </w:r>
      <w:r>
        <w:t xml:space="preserve"> where scope is matter, tracked, all, or explicit ids. Returns ranked provisions, each with verbatim </w:t>
      </w:r>
      <w:r>
        <w:rPr>
          <w:rFonts w:ascii="Courier New" w:cs="Courier New" w:eastAsia="Courier New" w:hAnsi="Courier New"/>
        </w:rPr>
        <w:t xml:space="preserve">clause_text</w:t>
      </w:r>
      <w:r>
        <w:t xml:space="preserve"> and full provenance.</w:t>
      </w:r>
    </w:p>
    <w:p>
      <w:pPr>
        <w:pStyle w:val="ListParagraph"/>
        <w:numPr>
          <w:ilvl w:val="0"/>
          <w:numId w:val="2"/>
        </w:numPr>
        <w:spacing w:after="60"/>
      </w:pPr>
      <w:r>
        <w:rPr>
          <w:rFonts w:ascii="Courier New" w:cs="Courier New" w:eastAsia="Courier New" w:hAnsi="Courier New"/>
        </w:rPr>
        <w:t xml:space="preserve">POST /clauses/compare</w:t>
      </w:r>
      <w:r>
        <w:t xml:space="preserve"> with </w:t>
      </w:r>
      <w:r>
        <w:rPr>
          <w:rFonts w:ascii="Courier New" w:cs="Courier New" w:eastAsia="Courier New" w:hAnsi="Courier New"/>
        </w:rPr>
        <w:t xml:space="preserve">{ provision_type, district_ids[] }</w:t>
      </w:r>
      <w:r>
        <w:t xml:space="preserve">. Returns the actual language from each district, side by side, each cited.</w:t>
      </w:r>
    </w:p>
    <w:p>
      <w:pPr>
        <w:pStyle w:val="Heading3"/>
      </w:pPr>
      <w:r>
        <w:t xml:space="preserve">Model rules</w:t>
      </w:r>
    </w:p>
    <w:p>
      <w:pPr>
        <w:pStyle w:val="ListParagraph"/>
        <w:numPr>
          <w:ilvl w:val="0"/>
          <w:numId w:val="2"/>
        </w:numPr>
        <w:spacing w:after="60"/>
      </w:pPr>
      <w:r>
        <w:t xml:space="preserve">Retrieval runs first. The model receives only the retrieved clauses as context, kept tight to control token cost.</w:t>
      </w:r>
    </w:p>
    <w:p>
      <w:pPr>
        <w:pStyle w:val="ListParagraph"/>
        <w:numPr>
          <w:ilvl w:val="0"/>
          <w:numId w:val="2"/>
        </w:numPr>
        <w:spacing w:after="60"/>
      </w:pPr>
      <w:r>
        <w:t xml:space="preserve">The model may summarize or contrast across clauses, but every factual statement must cite a provision_id, and the verbatim clause text must always be shown. Never present a paraphrase as the clause.</w:t>
      </w:r>
    </w:p>
    <w:p>
      <w:pPr>
        <w:pStyle w:val="ListParagraph"/>
        <w:numPr>
          <w:ilvl w:val="0"/>
          <w:numId w:val="2"/>
        </w:numPr>
        <w:spacing w:after="60"/>
      </w:pPr>
      <w:r>
        <w:t xml:space="preserve">If retrieval returns nothing, say so. Do not generate clause language that retrieval did not return.</w:t>
      </w:r>
    </w:p>
    <w:p>
      <w:pPr>
        <w:pStyle w:val="Heading3"/>
      </w:pPr>
      <w:r>
        <w:t xml:space="preserve">Acceptance</w:t>
      </w:r>
    </w:p>
    <w:p>
      <w:pPr>
        <w:pStyle w:val="ListParagraph"/>
        <w:numPr>
          <w:ilvl w:val="0"/>
          <w:numId w:val="2"/>
        </w:numPr>
        <w:spacing w:after="60"/>
      </w:pPr>
      <w:r>
        <w:t xml:space="preserve">A query returns ranked, verbatim, cited clauses scoped to the active matter or roster.</w:t>
      </w:r>
    </w:p>
    <w:p>
      <w:pPr>
        <w:pStyle w:val="ListParagraph"/>
        <w:numPr>
          <w:ilvl w:val="0"/>
          <w:numId w:val="2"/>
        </w:numPr>
        <w:spacing w:after="60"/>
      </w:pPr>
      <w:r>
        <w:t xml:space="preserve">Side-by-side comparison of one provision across several districts shows real language with working citations to each source PDF. Stop for review.</w:t>
      </w:r>
    </w:p>
    <w:p>
      <w:pPr>
        <w:pStyle w:val="Heading2"/>
      </w:pPr>
      <w:r>
        <w:t xml:space="preserve">Phase 5. Work-product export</w:t>
      </w:r>
    </w:p>
    <w:p>
      <w:pPr>
        <w:spacing w:after="120"/>
      </w:pPr>
      <w:r>
        <w:t xml:space="preserve">Turn the database into billable deliverables. This is the renewal hook. Exports carry the same provenance shown on screen.</w:t>
      </w:r>
    </w:p>
    <w:p>
      <w:pPr>
        <w:pStyle w:val="Heading3"/>
      </w:pPr>
      <w:r>
        <w:t xml:space="preserve">Schema and API</w:t>
      </w:r>
    </w:p>
    <w:p>
      <w:pPr>
        <w:pStyle w:val="ListParagraph"/>
        <w:numPr>
          <w:ilvl w:val="0"/>
          <w:numId w:val="2"/>
        </w:numPr>
        <w:spacing w:after="60"/>
      </w:pPr>
      <w:r>
        <w:t xml:space="preserve">Add </w:t>
      </w:r>
      <w:r>
        <w:rPr>
          <w:rFonts w:ascii="Courier New" w:cs="Courier New" w:eastAsia="Courier New" w:hAnsi="Courier New"/>
        </w:rPr>
        <w:t xml:space="preserve">exports</w:t>
      </w:r>
      <w:r>
        <w:t xml:space="preserve">. Store generated files in object storage; keep keys and metadata in Postgres.</w:t>
      </w:r>
    </w:p>
    <w:p>
      <w:pPr>
        <w:pStyle w:val="ListParagraph"/>
        <w:numPr>
          <w:ilvl w:val="0"/>
          <w:numId w:val="2"/>
        </w:numPr>
        <w:spacing w:after="60"/>
      </w:pPr>
      <w:r>
        <w:rPr>
          <w:rFonts w:ascii="Courier New" w:cs="Courier New" w:eastAsia="Courier New" w:hAnsi="Courier New"/>
        </w:rPr>
        <w:t xml:space="preserve">POST /exports</w:t>
      </w:r>
      <w:r>
        <w:t xml:space="preserve"> with </w:t>
      </w:r>
      <w:r>
        <w:rPr>
          <w:rFonts w:ascii="Courier New" w:cs="Courier New" w:eastAsia="Courier New" w:hAnsi="Courier New"/>
        </w:rPr>
        <w:t xml:space="preserve">{ matter_id, type, format }</w:t>
      </w:r>
      <w:r>
        <w:t xml:space="preserve">. Types: comparison_memo, benchmark_exhibit, clause_appendix. Formats: docx, pdf.</w:t>
      </w:r>
    </w:p>
    <w:p>
      <w:pPr>
        <w:pStyle w:val="ListParagraph"/>
        <w:numPr>
          <w:ilvl w:val="0"/>
          <w:numId w:val="2"/>
        </w:numPr>
        <w:spacing w:after="60"/>
      </w:pPr>
      <w:r>
        <w:rPr>
          <w:rFonts w:ascii="Courier New" w:cs="Courier New" w:eastAsia="Courier New" w:hAnsi="Courier New"/>
        </w:rPr>
        <w:t xml:space="preserve">GET /firm/exports</w:t>
      </w:r>
      <w:r>
        <w:t xml:space="preserve"> lists prior exports with download links.</w:t>
      </w:r>
    </w:p>
    <w:p>
      <w:pPr>
        <w:pStyle w:val="Heading3"/>
      </w:pPr>
      <w:r>
        <w:t xml:space="preserve">Output rules</w:t>
      </w:r>
    </w:p>
    <w:p>
      <w:pPr>
        <w:pStyle w:val="ListParagraph"/>
        <w:numPr>
          <w:ilvl w:val="0"/>
          <w:numId w:val="2"/>
        </w:numPr>
        <w:spacing w:after="60"/>
      </w:pPr>
      <w:r>
        <w:t xml:space="preserve">Every figure and clause in an export includes its citation (district, source_url or document title, page, retrieved date). The export must be defensible on its own, away from the app.</w:t>
      </w:r>
    </w:p>
    <w:p>
      <w:pPr>
        <w:pStyle w:val="ListParagraph"/>
        <w:numPr>
          <w:ilvl w:val="0"/>
          <w:numId w:val="2"/>
        </w:numPr>
        <w:spacing w:after="60"/>
      </w:pPr>
      <w:r>
        <w:t xml:space="preserve">Clean professional formatting only. No colored fills, no horizontal rules, no accent bars. Prose and simple bordered tables.</w:t>
      </w:r>
    </w:p>
    <w:p>
      <w:pPr>
        <w:pStyle w:val="Heading3"/>
      </w:pPr>
      <w:r>
        <w:t xml:space="preserve">Acceptance</w:t>
      </w:r>
    </w:p>
    <w:p>
      <w:pPr>
        <w:pStyle w:val="ListParagraph"/>
        <w:numPr>
          <w:ilvl w:val="0"/>
          <w:numId w:val="2"/>
        </w:numPr>
        <w:spacing w:after="60"/>
      </w:pPr>
      <w:r>
        <w:t xml:space="preserve">Generating each export type from a matter produces a file that opens cleanly and whose citations match the on-screen data. Stop for review.</w:t>
      </w:r>
    </w:p>
    <w:p>
      <w:pPr>
        <w:pStyle w:val="Heading2"/>
      </w:pPr>
      <w:r>
        <w:t xml:space="preserve">Phase 6. Settlement alerts on tracked districts</w:t>
      </w:r>
    </w:p>
    <w:p>
      <w:pPr>
        <w:spacing w:after="120"/>
      </w:pPr>
      <w:r>
        <w:t xml:space="preserve">Make the tool sticky for someone tracking a book of clients by notifying them when a tracked district or a matter peer settles or posts a new contract.</w:t>
      </w:r>
    </w:p>
    <w:p>
      <w:pPr>
        <w:pStyle w:val="Heading3"/>
      </w:pPr>
      <w:r>
        <w:t xml:space="preserve">Schema and API</w:t>
      </w:r>
    </w:p>
    <w:p>
      <w:pPr>
        <w:pStyle w:val="ListParagraph"/>
        <w:numPr>
          <w:ilvl w:val="0"/>
          <w:numId w:val="2"/>
        </w:numPr>
        <w:spacing w:after="60"/>
      </w:pPr>
      <w:r>
        <w:t xml:space="preserve">Add </w:t>
      </w:r>
      <w:r>
        <w:rPr>
          <w:rFonts w:ascii="Courier New" w:cs="Courier New" w:eastAsia="Courier New" w:hAnsi="Courier New"/>
        </w:rPr>
        <w:t xml:space="preserve">alert_subscriptions</w:t>
      </w:r>
      <w:r>
        <w:t xml:space="preserve">. Surface triggered alerts through the existing </w:t>
      </w:r>
      <w:r>
        <w:rPr>
          <w:rFonts w:ascii="Courier New" w:cs="Courier New" w:eastAsia="Courier New" w:hAnsi="Courier New"/>
        </w:rPr>
        <w:t xml:space="preserve">alerts</w:t>
      </w:r>
      <w:r>
        <w:t xml:space="preserve"> table; do not duplicate that table.</w:t>
      </w:r>
    </w:p>
    <w:p>
      <w:pPr>
        <w:pStyle w:val="ListParagraph"/>
        <w:numPr>
          <w:ilvl w:val="0"/>
          <w:numId w:val="2"/>
        </w:numPr>
        <w:spacing w:after="60"/>
      </w:pPr>
      <w:r>
        <w:rPr>
          <w:rFonts w:ascii="Courier New" w:cs="Courier New" w:eastAsia="Courier New" w:hAnsi="Courier New"/>
        </w:rPr>
        <w:t xml:space="preserve">GET/POST /firm/alert-subscriptions</w:t>
      </w:r>
      <w:r>
        <w:t xml:space="preserve">, </w:t>
      </w:r>
      <w:r>
        <w:rPr>
          <w:rFonts w:ascii="Courier New" w:cs="Courier New" w:eastAsia="Courier New" w:hAnsi="Courier New"/>
        </w:rPr>
        <w:t xml:space="preserve">DELETE /firm/alert-subscriptions/:id</w:t>
      </w:r>
      <w:r>
        <w:t xml:space="preserve">, </w:t>
      </w:r>
      <w:r>
        <w:rPr>
          <w:rFonts w:ascii="Courier New" w:cs="Courier New" w:eastAsia="Courier New" w:hAnsi="Courier New"/>
        </w:rPr>
        <w:t xml:space="preserve">GET /firm/alerts</w:t>
      </w:r>
      <w:r>
        <w:t xml:space="preserve">.</w:t>
      </w:r>
    </w:p>
    <w:p>
      <w:pPr>
        <w:pStyle w:val="ListParagraph"/>
        <w:numPr>
          <w:ilvl w:val="0"/>
          <w:numId w:val="2"/>
        </w:numPr>
        <w:spacing w:after="60"/>
      </w:pPr>
      <w:r>
        <w:t xml:space="preserve">Detection runs inside the existing on-demand data refresh (no new cron). When a refresh ingests a new settlement or contract for a subscribed district, write an alert row.</w:t>
      </w:r>
    </w:p>
    <w:p>
      <w:pPr>
        <w:pStyle w:val="Heading3"/>
      </w:pPr>
      <w:r>
        <w:t xml:space="preserve">Frontend and acceptance</w:t>
      </w:r>
    </w:p>
    <w:p>
      <w:pPr>
        <w:pStyle w:val="ListParagraph"/>
        <w:numPr>
          <w:ilvl w:val="0"/>
          <w:numId w:val="2"/>
        </w:numPr>
        <w:spacing w:after="60"/>
      </w:pPr>
      <w:r>
        <w:t xml:space="preserve">Add </w:t>
      </w:r>
      <w:r>
        <w:rPr>
          <w:rFonts w:ascii="Courier New" w:cs="Courier New" w:eastAsia="Courier New" w:hAnsi="Courier New"/>
        </w:rPr>
        <w:t xml:space="preserve">/app/alerts</w:t>
      </w:r>
      <w:r>
        <w:t xml:space="preserve"> for subscriptions and a feed of triggered alerts.</w:t>
      </w:r>
    </w:p>
    <w:p>
      <w:pPr>
        <w:pStyle w:val="ListParagraph"/>
        <w:numPr>
          <w:ilvl w:val="0"/>
          <w:numId w:val="2"/>
        </w:numPr>
        <w:spacing w:after="60"/>
      </w:pPr>
      <w:r>
        <w:t xml:space="preserve">Subscribing to a district and then ingesting a matching new settlement produces one alert. Row-count table. Stop for review.</w:t>
      </w:r>
    </w:p>
    <w:p>
      <w:pPr>
        <w:pStyle w:val="Heading2"/>
      </w:pPr>
      <w:r>
        <w:t xml:space="preserve">Phase 7. Preserve the CFO dashboard</w:t>
      </w:r>
    </w:p>
    <w:p>
      <w:pPr>
        <w:spacing w:after="120"/>
      </w:pPr>
      <w:r>
        <w:t xml:space="preserve">Keep the existing single-district dashboard route working and reading the same tables. It serves the CFO or treasurer who arrives once per cycle. Reduce it to a read-only view if needed, but do not remove it and do not fork the data behind it. Confirm </w:t>
      </w:r>
      <w:r>
        <w:rPr>
          <w:rFonts w:ascii="Courier New" w:cs="Courier New" w:eastAsia="Courier New" w:hAnsi="Courier New"/>
        </w:rPr>
        <w:t xml:space="preserve">dashboard.ts</w:t>
      </w:r>
      <w:r>
        <w:t xml:space="preserve"> still functions after the auth and schema changes.</w:t>
      </w:r>
    </w:p>
    <w:p>
      <w:pPr>
        <w:pStyle w:val="Heading3"/>
      </w:pPr>
      <w:r>
        <w:t xml:space="preserve">Acceptance</w:t>
      </w:r>
    </w:p>
    <w:p>
      <w:pPr>
        <w:pStyle w:val="ListParagraph"/>
        <w:numPr>
          <w:ilvl w:val="0"/>
          <w:numId w:val="2"/>
        </w:numPr>
        <w:spacing w:after="60"/>
      </w:pPr>
      <w:r>
        <w:t xml:space="preserve">The CFO dashboard still loads a single district with benchmarks and comparable settlements, unaffected by the new auth. The attorney workspace and the CFO dashboard read the same underlying rows. Stop for review.</w:t>
      </w:r>
    </w:p>
    <w:p>
      <w:pPr>
        <w:pStyle w:val="Heading1"/>
      </w:pPr>
      <w:r>
        <w:t xml:space="preserve">8. LLM and cost rules</w:t>
      </w:r>
    </w:p>
    <w:p>
      <w:pPr>
        <w:pStyle w:val="ListParagraph"/>
        <w:numPr>
          <w:ilvl w:val="0"/>
          <w:numId w:val="2"/>
        </w:numPr>
        <w:spacing w:after="60"/>
      </w:pPr>
      <w:r>
        <w:rPr>
          <w:b/>
          <w:bCs/>
        </w:rPr>
        <w:t xml:space="preserve">Extraction stays on the Anthropic API. </w:t>
      </w:r>
      <w:r>
        <w:t xml:space="preserve">It runs only at ingestion (twice a year), the cost is small against the value, and extraction accuracy is what the product's credibility rests on. Do not move extraction to a local or self-hosted model.</w:t>
      </w:r>
    </w:p>
    <w:p>
      <w:pPr>
        <w:pStyle w:val="ListParagraph"/>
        <w:numPr>
          <w:ilvl w:val="0"/>
          <w:numId w:val="2"/>
        </w:numPr>
        <w:spacing w:after="60"/>
      </w:pPr>
      <w:r>
        <w:rPr>
          <w:b/>
          <w:bCs/>
        </w:rPr>
        <w:t xml:space="preserve">Keep user-facing queries cheap by architecture, not hardware. </w:t>
      </w:r>
      <w:r>
        <w:t xml:space="preserve">Answer the comparison matrix and benchmarks with SQL over stored values, with no model call. Reserve model calls for clause search synthesis only.</w:t>
      </w:r>
    </w:p>
    <w:p>
      <w:pPr>
        <w:pStyle w:val="ListParagraph"/>
        <w:numPr>
          <w:ilvl w:val="0"/>
          <w:numId w:val="2"/>
        </w:numPr>
        <w:spacing w:after="60"/>
      </w:pPr>
      <w:r>
        <w:rPr>
          <w:b/>
          <w:bCs/>
        </w:rPr>
        <w:t xml:space="preserve">Tier the models. </w:t>
      </w:r>
      <w:r>
        <w:t xml:space="preserve">Use a smaller model for query routing and simple synthesis; reserve the strongest model for multi-clause comparison. Cache identical queries.</w:t>
      </w:r>
    </w:p>
    <w:p>
      <w:pPr>
        <w:pStyle w:val="ListParagraph"/>
        <w:numPr>
          <w:ilvl w:val="0"/>
          <w:numId w:val="2"/>
        </w:numPr>
        <w:spacing w:after="60"/>
      </w:pPr>
      <w:r>
        <w:rPr>
          <w:b/>
          <w:bCs/>
        </w:rPr>
        <w:t xml:space="preserve">Ground everything. </w:t>
      </w:r>
      <w:r>
        <w:t xml:space="preserve">Clause output must be verbatim and cited; never invent clause language. This matters most for the attorney audience, where an inaccurate clause is unrecoverable.</w:t>
      </w:r>
    </w:p>
    <w:p>
      <w:pPr>
        <w:pStyle w:val="Heading1"/>
      </w:pPr>
      <w:r>
        <w:t xml:space="preserve">9. Definition of done</w:t>
      </w:r>
    </w:p>
    <w:p>
      <w:pPr>
        <w:pStyle w:val="ListParagraph"/>
        <w:numPr>
          <w:ilvl w:val="0"/>
          <w:numId w:val="2"/>
        </w:numPr>
        <w:spacing w:after="60"/>
      </w:pPr>
      <w:r>
        <w:t xml:space="preserve">All seven phases pass their acceptance checks with human review at each gate.</w:t>
      </w:r>
    </w:p>
    <w:p>
      <w:pPr>
        <w:pStyle w:val="ListParagraph"/>
        <w:numPr>
          <w:ilvl w:val="0"/>
          <w:numId w:val="2"/>
        </w:numPr>
        <w:spacing w:after="60"/>
      </w:pPr>
      <w:r>
        <w:t xml:space="preserve">A firm user can sign up, build a roster and a matter, render a cited comparison matrix, run cited clause search and side-by-side comparison, export a defensible memo, and subscribe to settlement alerts.</w:t>
      </w:r>
    </w:p>
    <w:p>
      <w:pPr>
        <w:pStyle w:val="ListParagraph"/>
        <w:numPr>
          <w:ilvl w:val="0"/>
          <w:numId w:val="2"/>
        </w:numPr>
        <w:spacing w:after="60"/>
      </w:pPr>
      <w:r>
        <w:rPr>
          <w:rFonts w:ascii="Courier New" w:cs="Courier New" w:eastAsia="Courier New" w:hAnsi="Courier New"/>
        </w:rPr>
        <w:t xml:space="preserve">check-drift</w:t>
      </w:r>
      <w:r>
        <w:t xml:space="preserve"> is clean, codegen is current, and the CFO dashboard still works. No fabricated data anywhere.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CollBar Build Spec, Attorney Workspace,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4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2026-06-27T15:43:42.345Z</dcterms:created>
  <dcterms:modified xsi:type="dcterms:W3CDTF">2026-06-27T15:43:42.346Z</dcterms:modified>
</cp:coreProperties>
</file>

<file path=docProps/custom.xml><?xml version="1.0" encoding="utf-8"?>
<Properties xmlns="http://schemas.openxmlformats.org/officeDocument/2006/custom-properties" xmlns:vt="http://schemas.openxmlformats.org/officeDocument/2006/docPropsVTypes"/>
</file>