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Exhibit 3. Top 10 and Bottom 10 Counties by Medi-Cal Provider Participation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County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Participation</w:t>
              <w:br/>
              <w:t>Rate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Registered</w:t>
              <w:br/>
              <w:t>Providers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Active</w:t>
              <w:br/>
              <w:t>Providers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Composite</w:t>
              <w:br/>
              <w:t>Cost Index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Effective</w:t>
              <w:br/>
              <w:t>Reimbursement Index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Marin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172.8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57.9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San Francisco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4,210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1,970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186.0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San Mateo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1,820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181.1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55.2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Santa Clara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5,640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2,532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56.6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Alameda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5,830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2,577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162.1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61.7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Contra Costa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3,210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1,406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157.6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Orange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8,420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3,595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154.8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Napa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145.1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68.9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San Diego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8,903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3,668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149.6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Sonoma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152.8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65.4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...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Tehama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117.6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Mariposa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110.1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Colusa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116.8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Lake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111.4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Plumas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113.8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Imperial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119.5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Lassen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121.8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Trinity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125.6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Modoc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75.9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131.8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Sierra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125.2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sz w:val="18"/>
        </w:rPr>
        <w:t>Note: Composite cost index benchmarked to statewide average = 100. Effective reimbursement index = 100/composite cost index × 100, representing relative purchasing power of flat Medi-Cal payment. Data from NPPES (December 2024) and HHS Medicaid Provider Spending dataset (January 2018–December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