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2"/>
        </w:rPr>
        <w:t>Exhibit 4. Medi-Cal Provider Participation by Specialty Category, Statewide, 2018–2024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Specialty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Median Participation</w:t>
              <w:br/>
              <w:t>Rate (%)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Total</w:t>
              <w:br/>
              <w:t>Registered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Total</w:t>
              <w:br/>
              <w:t>Active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Counties</w:t>
              <w:br/>
              <w:t>Reporting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Pharmacy/DME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72.2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6,678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4,819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Primary Care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41.4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20,372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8,449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OB/GYN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38.4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9,308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3,572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Dental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35.9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14,009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5,017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57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Other Surgical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30.8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12,136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3,731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0"/>
              </w:rPr>
              <w:t>Behavioral Health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27.3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16,720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4,563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57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sz w:val="18"/>
        </w:rPr>
        <w:t>Note: Median computed across reporting counties. Not all counties have providers in all specialty categories; Alpine and Sierra counties are missing from several categories due to very small provider populations. Data from NPPES (December 2024) and HHS Medicaid Provider Spending dataset (January 2018–December 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