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Flat-Rate Medicaid Reimbursement and Geographic Variation in Provider Participation: Evidence from California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Victoria Cholette, PhD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4"/>
        </w:rPr>
        <w:t>School of Public Health, University of California, Berkeley; California Association of Public Health Economists (CAPHE)</w:t>
      </w:r>
    </w:p>
    <w:p>
      <w:pPr>
        <w:spacing w:after="240"/>
      </w:pPr>
      <w:r>
        <w:rPr>
          <w:rFonts w:ascii="Times New Roman" w:hAnsi="Times New Roman"/>
          <w:b/>
          <w:sz w:val="24"/>
        </w:rPr>
        <w:t xml:space="preserve">Corresponding author: </w:t>
      </w:r>
      <w:r>
        <w:rPr>
          <w:rFonts w:ascii="Times New Roman" w:hAnsi="Times New Roman"/>
          <w:sz w:val="24"/>
        </w:rPr>
        <w:t>Victoria Cholette, vcholette@berkeley.edu</w:t>
      </w:r>
    </w:p>
    <w:p>
      <w:pPr>
        <w:spacing w:after="240"/>
      </w:pPr>
      <w:r>
        <w:rPr>
          <w:rFonts w:ascii="Times New Roman" w:hAnsi="Times New Roman"/>
          <w:b/>
          <w:sz w:val="24"/>
        </w:rPr>
        <w:t xml:space="preserve">Word count: </w:t>
      </w:r>
      <w:r>
        <w:rPr>
          <w:rFonts w:ascii="Times New Roman" w:hAnsi="Times New Roman"/>
          <w:sz w:val="24"/>
        </w:rPr>
        <w:t>2,498 (excluding abstract, references, exhibits)</w:t>
      </w:r>
    </w:p>
    <w:p>
      <w:pPr>
        <w:spacing w:after="240"/>
      </w:pPr>
      <w:r>
        <w:rPr>
          <w:rFonts w:ascii="Times New Roman" w:hAnsi="Times New Roman"/>
          <w:b/>
          <w:sz w:val="24"/>
        </w:rPr>
        <w:t xml:space="preserve">Key words: </w:t>
      </w:r>
      <w:r>
        <w:rPr>
          <w:rFonts w:ascii="Times New Roman" w:hAnsi="Times New Roman"/>
          <w:sz w:val="24"/>
        </w:rPr>
        <w:t>Medicaid, Medi-Cal, provider participation, geographic variation, reimbursement, network adequacy, behavioral health</w:t>
      </w:r>
    </w:p>
    <w:p>
      <w:pPr>
        <w:spacing w:after="240"/>
      </w:pPr>
      <w:r>
        <w:rPr>
          <w:rFonts w:ascii="Times New Roman" w:hAnsi="Times New Roman"/>
          <w:b/>
          <w:sz w:val="24"/>
        </w:rPr>
        <w:t xml:space="preserve">Funding: </w:t>
      </w:r>
      <w:r>
        <w:rPr>
          <w:rFonts w:ascii="Times New Roman" w:hAnsi="Times New Roman"/>
          <w:sz w:val="24"/>
        </w:rP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