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6742611b6ca2ab6fa861354e1ef113307aafcfd"/>
      <w:r>
        <w:t xml:space="preserve">CAPHE Social Posts — 22 Scheduled Case Studies (Mon/Wed 7:00 AM PST) + 2 Held Paid Family Leave Previews</w:t>
      </w:r>
      <w:bookmarkEnd w:id="9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Account:</w:t>
      </w:r>
      <w:r>
        <w:t xml:space="preserve"> </w:t>
      </w:r>
      <w:r>
        <w:rPr>
          <w:rStyle w:val="VerbatimChar"/>
        </w:rPr>
        <w:t xml:space="preserve">CAPHE</w:t>
      </w:r>
      <w:r>
        <w:t xml:space="preserve"> </w:t>
      </w:r>
      <w:r>
        <w:t xml:space="preserve">(</w:t>
      </w:r>
      <w:r>
        <w:rPr>
          <w:rStyle w:val="VerbatimChar"/>
        </w:rPr>
        <w:t xml:space="preserve">linkedin.com/company/caphe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@caphegroup.org</w:t>
      </w:r>
      <w:r>
        <w:t xml:space="preserve"> </w:t>
      </w:r>
      <w:r>
        <w:t xml:space="preserve">on Bluesky)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Schedule Cadence: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Monday and Wednesday at 7:00 AM PST</w:t>
      </w:r>
      <w:r>
        <w:t xml:space="preserve">, starting</w:t>
      </w:r>
      <w:r>
        <w:t xml:space="preserve"> </w:t>
      </w:r>
      <w:r>
        <w:rPr>
          <w:b/>
          <w:bCs/>
        </w:rPr>
        <w:t xml:space="preserve">Monday, November 2, 2026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Wednesday, January 13, 2027</w:t>
      </w:r>
      <w:r>
        <w:t xml:space="preserve"> </w:t>
      </w:r>
      <w:r>
        <w:t xml:space="preserve">(22 scheduled posts).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Held Paid Family Leave Case Studies (PDF Previews Only):</w:t>
      </w:r>
      <w:r>
        <w:t xml:space="preserve"> </w:t>
      </w:r>
      <w:r>
        <w:t xml:space="preserve">Posts #23 (</w:t>
      </w:r>
      <w:r>
        <w:rPr>
          <w:rStyle w:val="VerbatimChar"/>
        </w:rPr>
        <w:t xml:space="preserve">selection-into-treatment</w:t>
      </w:r>
      <w:r>
        <w:t xml:space="preserve">) and #24 (</w:t>
      </w:r>
      <w:r>
        <w:rPr>
          <w:rStyle w:val="VerbatimChar"/>
        </w:rPr>
        <w:t xml:space="preserve">threat-maturation-solutions</w:t>
      </w:r>
      <w:r>
        <w:t xml:space="preserve">) are held off from scheduling and converted to unlisted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mode with full PDF snapshots in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and Google Drive.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0a5c9b7cdf6cf9b8dcc2d6fa4aef89471d0d2d7"/>
      <w:r>
        <w:t xml:space="preserve">Post #1: Automated Data Checks vs. Live Outreach in Medi-Cal Renewals (</w:t>
      </w:r>
      <w:r>
        <w:rPr>
          <w:rStyle w:val="VerbatimChar"/>
        </w:rPr>
        <w:t xml:space="preserve">medicaid-expansion</w:t>
      </w:r>
      <w:r>
        <w:t xml:space="preserve">)</w:t>
      </w:r>
      <w:bookmarkEnd w:id="10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Mon, Nov 2,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2026-11-02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Medi-Cal Coverage, Renewals &amp; Provider Claims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https://www.caphegroup.org/methods-lab/medicaid-expansion</w:t>
      </w:r>
    </w:p>
    <w:p>
      <w:pPr>
        <w:pStyle w:val="FirstParagraph"/>
      </w:pPr>
      <w:r>
        <w:t xml:space="preserve">During Medi-Cal renewals, eligible families rarely lose coverage because their income changed. Most lose coverage where automated data checks stop and paper packets begin.</w:t>
      </w:r>
    </w:p>
    <w:p>
      <w:pPr>
        <w:pStyle w:val="BodyText"/>
      </w:pPr>
      <w:r>
        <w:t xml:space="preserve">In Santa Clara County’s 120,239-member renewal cohort, automated state data checks renew 39.2% of members without paperwork. Among the remaining members sent a paper packet, 27,076 lose coverage for procedural reasons even though an estimated 14,219 (52.5%) still qualify. Standard mail and text reminders move completions by 0% to 2%. Funding bilingual Community Health Worker outreach in high-drop ZIP codes recovers 35.0% of procedural losses (2,228 members retained) at $40 to $80 per member.</w:t>
      </w:r>
    </w:p>
    <w:p>
      <w:pPr>
        <w:pStyle w:val="BodyText"/>
      </w:pPr>
      <w:r>
        <w:t xml:space="preserve">Read the full case study:</w:t>
      </w:r>
      <w:r>
        <w:t xml:space="preserve"> </w:t>
      </w:r>
      <w:r>
        <w:t xml:space="preserve">https://www.caphegroup.org/methods-lab/medicaid-expansion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5f3ac8f745cbb44d85afd7849829c3c7a203d54"/>
      <w:r>
        <w:t xml:space="preserve">Post #2: Evaluating Pre-Post Changes Against Baseline Trends (</w:t>
      </w:r>
      <w:r>
        <w:rPr>
          <w:rStyle w:val="VerbatimChar"/>
        </w:rPr>
        <w:t xml:space="preserve">before-after-trap</w:t>
      </w:r>
      <w:r>
        <w:t xml:space="preserve">)</w:t>
      </w:r>
      <w:bookmarkEnd w:id="11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Wed, Nov 4,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2026-11-04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Medi-Cal Coverage, Renewals &amp; Provider Claims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https://www.caphegroup.org/methods-lab/before-after-trap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https://tooearlytosay.com/research/methodology/medicaid-data-landscape/</w:t>
      </w:r>
    </w:p>
    <w:p>
      <w:pPr>
        <w:pStyle w:val="FirstParagraph"/>
      </w:pPr>
      <w:r>
        <w:t xml:space="preserve">A two-point before-and-after count often credits a new policy for a trend that was already underway.</w:t>
      </w:r>
    </w:p>
    <w:p>
      <w:pPr>
        <w:pStyle w:val="BodyText"/>
      </w:pPr>
      <w:r>
        <w:t xml:space="preserve">Across 84 months of Medicaid claims (2018 to 2024), active telehealth-eligible billing providers rose by 22,239 (+24.33%) between 2019 and 2023. However, that count was already climbing by 6,977 providers per year (+8.26%) before the 2020 rule change, and non-telehealth Medicaid services grew 18.71% over the same window. Comparing the full multi-year trajectory against a non-telehealth comparison group separates the true policy lift from background growth.</w:t>
      </w:r>
    </w:p>
    <w:p>
      <w:pPr>
        <w:pStyle w:val="BodyText"/>
      </w:pPr>
      <w:r>
        <w:t xml:space="preserve">Read the case study and companion Medicaid claims guide:</w:t>
      </w:r>
      <w:r>
        <w:t xml:space="preserve"> </w:t>
      </w:r>
      <w:r>
        <w:t xml:space="preserve">Case Study: https://www.caphegroup.org/methods-lab/before-after-trap</w:t>
      </w:r>
      <w:r>
        <w:t xml:space="preserve"> </w:t>
      </w:r>
      <w:r>
        <w:t xml:space="preserve">Companion Method Guide: https://tooearlytosay.com/research/methodology/medicaid-data-landscape/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1050581f8c7f6e230d79a610fc31bfad04f81f9"/>
      <w:r>
        <w:t xml:space="preserve">Post #3: Enrolled Provider Directories vs. Active Claims and Sanction Lists (</w:t>
      </w:r>
      <w:r>
        <w:rPr>
          <w:rStyle w:val="VerbatimChar"/>
        </w:rPr>
        <w:t xml:space="preserve">measurement-error-claims</w:t>
      </w:r>
      <w:r>
        <w:t xml:space="preserve">)</w:t>
      </w:r>
      <w:bookmarkEnd w:id="12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Mon, Nov 9,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2026-11-09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Medi-Cal Coverage, Renewals &amp; Provider Claims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https://www.caphegroup.org/methods-lab/measurement-error-claims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https://tooearlytosay.com/research/methodology/medicaid-fraud-labels/</w:t>
      </w:r>
    </w:p>
    <w:p>
      <w:pPr>
        <w:pStyle w:val="FirstParagraph"/>
      </w:pPr>
      <w:r>
        <w:t xml:space="preserve">Counting registered provider directories as active care capacity overstates network reach, while treating sanction lists as pure billing fraud mislabels clinical license actions.</w:t>
      </w:r>
    </w:p>
    <w:p>
      <w:pPr>
        <w:pStyle w:val="BodyText"/>
      </w:pPr>
      <w:r>
        <w:t xml:space="preserve">Across 488,032 Medicaid-enrolled billing providers, matching against federal and California sanction registries identifies 648 excluded providers. Only 299 of those 648 excluded providers ever submitted a Medicaid claim during the 84-month observation window, and 95 billed strictly after their sanction date ($9,694.90 median monthly billing vs. $3,820.94 among unsanctioned peers). Filtering for active paid claims and separating billing fraud from license revocations keeps network audits accurate.</w:t>
      </w:r>
    </w:p>
    <w:p>
      <w:pPr>
        <w:pStyle w:val="BodyText"/>
      </w:pPr>
      <w:r>
        <w:t xml:space="preserve">Read the case study and companion exclusion-label audit:</w:t>
      </w:r>
      <w:r>
        <w:t xml:space="preserve"> </w:t>
      </w:r>
      <w:r>
        <w:t xml:space="preserve">Case Study: https://www.caphegroup.org/methods-lab/measurement-error-claims</w:t>
      </w:r>
      <w:r>
        <w:t xml:space="preserve"> </w:t>
      </w:r>
      <w:r>
        <w:t xml:space="preserve">Companion Method Guide: https://tooearlytosay.com/research/methodology/medicaid-fraud-labels/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8d75f7220883589f9110f8149a387dc7bccd2d5"/>
      <w:r>
        <w:t xml:space="preserve">Post #4: Full-List Provider Risk Screening vs. Active-Only Subsets (</w:t>
      </w:r>
      <w:r>
        <w:rPr>
          <w:rStyle w:val="VerbatimChar"/>
        </w:rPr>
        <w:t xml:space="preserve">collider-bias</w:t>
      </w:r>
      <w:r>
        <w:t xml:space="preserve">)</w:t>
      </w:r>
      <w:bookmarkEnd w:id="13"/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Wed, Nov 11,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2026-11-11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Medi-Cal Coverage, Renewals &amp; Provider Claims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https://www.caphegroup.org/methods-lab/collider-bias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https://tooearlytosay.com/research/methodology/medicaid-fraud-classifier/</w:t>
      </w:r>
    </w:p>
    <w:p>
      <w:pPr>
        <w:pStyle w:val="FirstParagraph"/>
      </w:pPr>
      <w:r>
        <w:t xml:space="preserve">Evaluating a fraud screening model on a downsampled test set or an active-only billing subset inflates apparent precision unless scores are rescaled to the full provider pool.</w:t>
      </w:r>
    </w:p>
    <w:p>
      <w:pPr>
        <w:pStyle w:val="BodyText"/>
      </w:pPr>
      <w:r>
        <w:t xml:space="preserve">Across 487,479 Medicaid billing providers, confirmed post-sanction billers represent a 0.0195% base rate (95 cases). On a 5-to-1 downsampled holdout (55,018 providers), the top 1% risk tier shows 0.922% precision. Rescaling to the full 487,479-provider pool yields 0.186% precision (a 9.53x lift over random audits, catching 9 cases across 4,844 flags). Pairing full-pool calibration with a $500,000 annual billing floor focuses investigators on 16,688 high-volume providers.</w:t>
      </w:r>
    </w:p>
    <w:p>
      <w:pPr>
        <w:pStyle w:val="BodyText"/>
      </w:pPr>
      <w:r>
        <w:t xml:space="preserve">Read the case study and companion classifier validation guide:</w:t>
      </w:r>
      <w:r>
        <w:t xml:space="preserve"> </w:t>
      </w:r>
      <w:r>
        <w:t xml:space="preserve">Case Study: https://www.caphegroup.org/methods-lab/collider-bias</w:t>
      </w:r>
      <w:r>
        <w:t xml:space="preserve"> </w:t>
      </w:r>
      <w:r>
        <w:t xml:space="preserve">Companion Method Guide: https://tooearlytosay.com/research/methodology/medicaid-fraud-classifier/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_d4415e5c8459223d1decb19c7312dc60a4ed04d"/>
      <w:r>
        <w:t xml:space="preserve">Post #5: Separating Real Program Outliers From Small-Group Swings (</w:t>
      </w:r>
      <w:r>
        <w:rPr>
          <w:rStyle w:val="VerbatimChar"/>
        </w:rPr>
        <w:t xml:space="preserve">p-hacking-multiple-testing</w:t>
      </w:r>
      <w:r>
        <w:t xml:space="preserve">)</w:t>
      </w:r>
      <w:bookmarkEnd w:id="14"/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Mon, Nov 16,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2026-11-16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Medi-Cal Coverage, Renewals &amp; Provider Claims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https://www.caphegroup.org/methods-lab/p-hacking-multiple-testing</w:t>
      </w:r>
    </w:p>
    <w:p>
      <w:pPr>
        <w:pStyle w:val="FirstParagraph"/>
      </w:pPr>
      <w:r>
        <w:t xml:space="preserve">Slicing a county renewal dashboard across dozens of age-by-language cells surfaces large percentage swings in tiny subgroups alongside massive headcount losses in core populations.</w:t>
      </w:r>
    </w:p>
    <w:p>
      <w:pPr>
        <w:pStyle w:val="BodyText"/>
      </w:pPr>
      <w:r>
        <w:t xml:space="preserve">Across 62 age-by-language cells in Santa Clara County (472,014 baseline Medi-Cal enrollees dropping by 60,292 to 411,722), the sharpest percentage drops appear in small cells with 47 and 36 enrollees (-34.04% and -25.00%, or 16 and 9 people). After applying a multiple-group reliability check and ranking by total people affected, two large cells account for 70.1% of all coverage losses: English-speaking adults (-24,880) and Spanish-speaking adults (-17,380).</w:t>
      </w:r>
    </w:p>
    <w:p>
      <w:pPr>
        <w:pStyle w:val="BodyText"/>
      </w:pPr>
      <w:r>
        <w:t xml:space="preserve">Read the full case study:</w:t>
      </w:r>
      <w:r>
        <w:t xml:space="preserve"> </w:t>
      </w:r>
      <w:r>
        <w:t xml:space="preserve">https://www.caphegroup.org/methods-lab/p-hacking-multiple-testing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1e52a21715a3af5dc4b5616ff70339a97747428"/>
      <w:r>
        <w:t xml:space="preserve">Post #6: Matching the Study Design to the Operational Question (</w:t>
      </w:r>
      <w:r>
        <w:rPr>
          <w:rStyle w:val="VerbatimChar"/>
        </w:rPr>
        <w:t xml:space="preserve">study-design-ladder</w:t>
      </w:r>
      <w:r>
        <w:t xml:space="preserve">)</w:t>
      </w:r>
      <w:bookmarkEnd w:id="15"/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Wed, Nov 18,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2026-11-18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Medi-Cal Coverage, Renewals &amp; Provider Claims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https://www.caphegroup.org/methods-lab/study-design-ladder</w:t>
      </w:r>
    </w:p>
    <w:p>
      <w:pPr>
        <w:pStyle w:val="FirstParagraph"/>
      </w:pPr>
      <w:r>
        <w:t xml:space="preserve">Different stages of a public health program require different evaluation tools. A single study design rarely answers every operational question on a director’s desk.</w:t>
      </w:r>
    </w:p>
    <w:p>
      <w:pPr>
        <w:pStyle w:val="BodyText"/>
      </w:pPr>
      <w:r>
        <w:t xml:space="preserve">Descriptive funnel tracking across 120,239 Santa Clara Medi-Cal renewals pinpoints where 27,076 procedural losses occur. Multi-year trend splits separate 39,600 added Paid Family Leave claims from baseline workforce growth. Routine-budget models across 1,197 county-years isolate 9.16 fewer deaths per 100,000 per $10 per resident. Finally, randomized trials across 82,695 members test whether live phone outreach lifts renewals (+8% to +11%) where text messages show 0% lift.</w:t>
      </w:r>
    </w:p>
    <w:p>
      <w:pPr>
        <w:pStyle w:val="BodyText"/>
      </w:pPr>
      <w:r>
        <w:t xml:space="preserve">Read the full case study:</w:t>
      </w:r>
      <w:r>
        <w:t xml:space="preserve"> </w:t>
      </w:r>
      <w:r>
        <w:t xml:space="preserve">https://www.caphegroup.org/methods-lab/study-design-ladder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aabe949c465d084609cd6988705d5e95f1d06a2"/>
      <w:r>
        <w:t xml:space="preserve">Post #7: Per-Visit Medi-Cal Billing vs. Acute-Care Hospital Offsets (</w:t>
      </w:r>
      <w:r>
        <w:rPr>
          <w:rStyle w:val="VerbatimChar"/>
        </w:rPr>
        <w:t xml:space="preserve">chw-health-outcomes</w:t>
      </w:r>
      <w:r>
        <w:t xml:space="preserve">)</w:t>
      </w:r>
      <w:bookmarkEnd w:id="16"/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Mon, Nov 23,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2026-11-23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Community Health Workers &amp; Clinical Financing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https://www.caphegroup.org/methods-lab/chw-health-outcomes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https://tooearlytosay.com/research/health-policy/chw-spatial-financing-medi-cal/</w:t>
      </w:r>
    </w:p>
    <w:p>
      <w:pPr>
        <w:pStyle w:val="FirstParagraph"/>
      </w:pPr>
      <w:r>
        <w:t xml:space="preserve">Sizing a county Community Health Worker team around fee-for-service clinic billing alone leaves an 89% to 94% funding gap for field outreach.</w:t>
      </w:r>
    </w:p>
    <w:p>
      <w:pPr>
        <w:pStyle w:val="BodyText"/>
      </w:pPr>
      <w:r>
        <w:t xml:space="preserve">Across all 58 California counties, employing one full-time Community Health Worker costs $92,684 to $122,102 per year ($103,719 in Santa Clara County), while Medi-Cal pays a flat $31.74 per 30-minute visit ($26.66 per individual unit). Standard visit billing covers 6.5% to 9.8% of field compensation ($6,775 to $10,162 per year). Accounting for avoided emergency and hospital stays ($107,006 to $291,171) and two-year health gains brings total annual value to $407,006 to $852,900 per worker, showing why sustainable programs blend managed-care reinvestment with base grants.</w:t>
      </w:r>
    </w:p>
    <w:p>
      <w:pPr>
        <w:pStyle w:val="BodyText"/>
      </w:pPr>
      <w:r>
        <w:t xml:space="preserve">Read the case study and statewide 58-county spatial financing analysis:</w:t>
      </w:r>
      <w:r>
        <w:t xml:space="preserve"> </w:t>
      </w:r>
      <w:r>
        <w:t xml:space="preserve">Case Study: https://www.caphegroup.org/methods-lab/chw-health-outcomes</w:t>
      </w:r>
      <w:r>
        <w:t xml:space="preserve"> </w:t>
      </w:r>
      <w:r>
        <w:t xml:space="preserve">Statewide Analysis: https://tooearlytosay.com/research/health-policy/chw-spatial-financing-medi-cal/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" w:name="_6495f0c93866c71cefcddc0e853cceba60d04f4"/>
      <w:r>
        <w:t xml:space="preserve">Post #8: Pairing Long-Run Return Ratios With Year-One Cash-Flow Schedules (</w:t>
      </w:r>
      <w:r>
        <w:rPr>
          <w:rStyle w:val="VerbatimChar"/>
        </w:rPr>
        <w:t xml:space="preserve">budget-impact</w:t>
      </w:r>
      <w:r>
        <w:t xml:space="preserve">)</w:t>
      </w:r>
      <w:bookmarkEnd w:id="17"/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Wed, Nov 25,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2026-11-25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Community Health Workers &amp; Clinical Financing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https://www.caphegroup.org/methods-lab/budget-impact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https://tooearlytosay.com/research/health-policy/public-health-spending-regime-shifts/</w:t>
      </w:r>
    </w:p>
    <w:p>
      <w:pPr>
        <w:pStyle w:val="FirstParagraph"/>
      </w:pPr>
      <w:r>
        <w:t xml:space="preserve">High multi-year return ratios do not pay Year-1 salaries. Budget committees need a five-year return model paired with a Year-1 cash-flow and reserve schedule.</w:t>
      </w:r>
    </w:p>
    <w:p>
      <w:pPr>
        <w:pStyle w:val="BodyText"/>
      </w:pPr>
      <w:r>
        <w:t xml:space="preserve">In California, county prevention spending delivers a 125-to-1 five-year societal return (52-to-1 in Year 1 as 42% of the mortality reduction arrives in the first year). At the same time, expanding Paid Family Leave generates $422.0M in net annual worker benefits but requires $623.7M in 2026 cash outlays, dipping the state fund reserve to 10.8% ($1.96B) against a 25.0% ($4.38B) statutory benchmark before rebuilding to 30.4% ($6.37B) by 2030. Pairing long-run return ratios with annual reserve tables gives finance officers both numbers.</w:t>
      </w:r>
    </w:p>
    <w:p>
      <w:pPr>
        <w:pStyle w:val="BodyText"/>
      </w:pPr>
      <w:r>
        <w:t xml:space="preserve">Read the case study and companion public health spending analysis:</w:t>
      </w:r>
      <w:r>
        <w:t xml:space="preserve"> </w:t>
      </w:r>
      <w:r>
        <w:t xml:space="preserve">Case Study: https://www.caphegroup.org/methods-lab/budget-impact</w:t>
      </w:r>
      <w:r>
        <w:t xml:space="preserve"> </w:t>
      </w:r>
      <w:r>
        <w:t xml:space="preserve">Companion Analysis: https://tooearlytosay.com/research/health-policy/public-health-spending-regime-shifts/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5f470b19dcc69966caac134364479902f117f8b"/>
      <w:r>
        <w:t xml:space="preserve">Post #9: Spreading Year-One Startup Costs Across Multi-Year Health Gains (</w:t>
      </w:r>
      <w:r>
        <w:rPr>
          <w:rStyle w:val="VerbatimChar"/>
        </w:rPr>
        <w:t xml:space="preserve">cost-effectiveness-ratio</w:t>
      </w:r>
      <w:r>
        <w:t xml:space="preserve">)</w:t>
      </w:r>
      <w:bookmarkEnd w:id="18"/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Mon, Nov 30,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2026-11-30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Community Health Workers &amp; Clinical Financing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https://www.caphegroup.org/methods-lab/cost-effectiveness-ratio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https://tooearlytosay.com/research/health-policy/chw-spatial-financing-medi-cal/</w:t>
      </w:r>
    </w:p>
    <w:p>
      <w:pPr>
        <w:pStyle w:val="FirstParagraph"/>
      </w:pPr>
      <w:r>
        <w:t xml:space="preserve">Judging a new community health program on Year-1 operating and startup costs alone loads five years of hiring, training, and IT setup onto twelve months of patient care.</w:t>
      </w:r>
    </w:p>
    <w:p>
      <w:pPr>
        <w:pStyle w:val="BodyText"/>
      </w:pPr>
      <w:r>
        <w:t xml:space="preserve">In a 750-client Santa Clara Community Health Worker scenario producing 40.04 healthy life-years per year (200.20 discounted QALYs over five years), Year-1 cost per healthy life-year sits at $48,202 ($1,930,000 in first-year spending). Across Years 2 through 5, ongoing cost drops to $35,090 per QALY ($1,405,000 per year), yielding a five-year average of $36,089 per QALY operating ($37,712 with full $325,000 startup) and +$12.47M in net monetary value at the $100,000/QALY benchmark.</w:t>
      </w:r>
    </w:p>
    <w:p>
      <w:pPr>
        <w:pStyle w:val="BodyText"/>
      </w:pPr>
      <w:r>
        <w:t xml:space="preserve">Read the case study and statewide CHW financing analysis:</w:t>
      </w:r>
      <w:r>
        <w:t xml:space="preserve"> </w:t>
      </w:r>
      <w:r>
        <w:t xml:space="preserve">Case Study: https://www.caphegroup.org/methods-lab/cost-effectiveness-ratio</w:t>
      </w:r>
      <w:r>
        <w:t xml:space="preserve"> </w:t>
      </w:r>
      <w:r>
        <w:t xml:space="preserve">Statewide Analysis: https://tooearlytosay.com/research/health-policy/chw-spatial-financing-medi-cal/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8218d61f59887fbf5011b841a473131a21f7f27"/>
      <w:r>
        <w:t xml:space="preserve">Post #10: Putting Chronic Care, Mental Health, and Saved Lives on Shared Ledgers (</w:t>
      </w:r>
      <w:r>
        <w:rPr>
          <w:rStyle w:val="VerbatimChar"/>
        </w:rPr>
        <w:t xml:space="preserve">measuring-health-common-unit</w:t>
      </w:r>
      <w:r>
        <w:t xml:space="preserve">)</w:t>
      </w:r>
      <w:bookmarkEnd w:id="19"/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Wed, Dec 2,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2026-12-02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Community Health Workers &amp; Clinical Financing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https://www.caphegroup.org/methods-lab/measuring-health-common-unit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https://tooearlytosay.com/research/health-policy/chw-spatial-financing-medi-cal/</w:t>
      </w:r>
    </w:p>
    <w:p>
      <w:pPr>
        <w:pStyle w:val="FirstParagraph"/>
      </w:pPr>
      <w:r>
        <w:t xml:space="preserve">When a diabetes clinic tracks blood sugar, a behavioral health team tracks depression scores, and a county health department tracks premature deaths, budget staff lack a common unit to compare programs.</w:t>
      </w:r>
    </w:p>
    <w:p>
      <w:pPr>
        <w:pStyle w:val="BodyText"/>
      </w:pPr>
      <w:r>
        <w:t xml:space="preserve">Translating condition-specific outcomes into standardized healthy life-years (QALYs) and federal life-valuation tiers places each program on a clear ledger. Across a 750-client Santa Clara Community Health Worker cohort generating 40.04 QALYs per year ($4.00M in health value at $100,000/QALY), mental health and social-needs navigation contribute 54.5% of total health gains (21.83 QALYs, or $2.18M) that lab-only blood sugar metrics miss.</w:t>
      </w:r>
    </w:p>
    <w:p>
      <w:pPr>
        <w:pStyle w:val="BodyText"/>
      </w:pPr>
      <w:r>
        <w:t xml:space="preserve">Read the case study and statewide CHW financing analysis:</w:t>
      </w:r>
      <w:r>
        <w:t xml:space="preserve"> </w:t>
      </w:r>
      <w:r>
        <w:t xml:space="preserve">Case Study: https://www.caphegroup.org/methods-lab/measuring-health-common-unit</w:t>
      </w:r>
      <w:r>
        <w:t xml:space="preserve"> </w:t>
      </w:r>
      <w:r>
        <w:t xml:space="preserve">Statewide Analysis: https://tooearlytosay.com/research/health-policy/chw-spatial-financing-medi-cal/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22b854437f245fb9f95a4833d4b042fc8e0892a"/>
      <w:r>
        <w:t xml:space="preserve">Post #11: Separating Program Steps From Outside Factors in Care Models (</w:t>
      </w:r>
      <w:r>
        <w:rPr>
          <w:rStyle w:val="VerbatimChar"/>
        </w:rPr>
        <w:t xml:space="preserve">classifying-causal-mechanisms</w:t>
      </w:r>
      <w:r>
        <w:t xml:space="preserve">)</w:t>
      </w:r>
      <w:bookmarkEnd w:id="20"/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Mon, Dec 7,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2026-12-07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Community Health Workers &amp; Clinical Financing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https://www.caphegroup.org/methods-lab/classifying-causal-mechanisms</w:t>
      </w:r>
    </w:p>
    <w:p>
      <w:pPr>
        <w:pStyle w:val="FirstParagraph"/>
      </w:pPr>
      <w:r>
        <w:t xml:space="preserve">Adding every available database column into a regression model can erase the exact care pathway a program was built to create.</w:t>
      </w:r>
    </w:p>
    <w:p>
      <w:pPr>
        <w:pStyle w:val="BodyText"/>
      </w:pPr>
      <w:r>
        <w:t xml:space="preserve">When evaluating how Community Health Workers reduce hospital stays (-30% in randomized trial benchmarks), primary care follow-up visits are a program step (mediator) between enrollment and hospital avoidance. Controlling for post-enrollment clinic visits blocks that pathway and understates program impact. Conversely, omitting neighborhood poverty in a 408-tract Santa Clara food-access regression reverses the apparent store-distance slope (-0.578 raw vs. -0.017 adjusted, with poverty explaining 62.2% of model variance).</w:t>
      </w:r>
    </w:p>
    <w:p>
      <w:pPr>
        <w:pStyle w:val="BodyText"/>
      </w:pPr>
      <w:r>
        <w:t xml:space="preserve">Read the full case study:</w:t>
      </w:r>
      <w:r>
        <w:t xml:space="preserve"> </w:t>
      </w:r>
      <w:r>
        <w:t xml:space="preserve">https://www.caphegroup.org/methods-lab/classifying-causal-mechanisms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_f0bef79c517bd06857a5192359cddbbd81a7a3e"/>
      <w:r>
        <w:t xml:space="preserve">Post #12: Uniform Poverty Cutoffs vs. Post-Rent Household Budgets (</w:t>
      </w:r>
      <w:r>
        <w:rPr>
          <w:rStyle w:val="VerbatimChar"/>
        </w:rPr>
        <w:t xml:space="preserve">food-affordability-tradeoffs</w:t>
      </w:r>
      <w:r>
        <w:t xml:space="preserve">)</w:t>
      </w:r>
      <w:bookmarkEnd w:id="21"/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Wed, Dec 9,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2026-12-09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Food Security, CalFresh &amp; Local Cost of Living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https://www.caphegroup.org/methods-lab/food-affordability-tradeoffs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https://tooearlytosay.com/research/food-security/food-access-vulnerability-paradox/</w:t>
      </w:r>
    </w:p>
    <w:p>
      <w:pPr>
        <w:pStyle w:val="FirstParagraph"/>
      </w:pPr>
      <w:r>
        <w:t xml:space="preserve">A uniform federal poverty cutoff treats a $60,000 household budget identically in coastal Marin County and inland Fresno County, even though rent absorbs very different shares of monthly income.</w:t>
      </w:r>
    </w:p>
    <w:p>
      <w:pPr>
        <w:pStyle w:val="BodyText"/>
      </w:pPr>
      <w:r>
        <w:t xml:space="preserve">Comparing median household incomes and median rents across California counties shows how housing costs reshape food budgets. In Marin County, a median monthly income of $5,507 minus $2,318 in median rent (42.1%) and $973 in family food costs (17.7%) leaves $2,216 (30.5%). In Fresno County, a $3,103 monthly income minus $1,007 in rent (32.5%) and $973 in food (31.4%) leaves $1,123 (46.4% remaining before other bills). Pairing post-rent residual income with local store access matches nutrition support to actual household budgets.</w:t>
      </w:r>
    </w:p>
    <w:p>
      <w:pPr>
        <w:pStyle w:val="BodyText"/>
      </w:pPr>
      <w:r>
        <w:t xml:space="preserve">Read the case study and companion food-access analysis:</w:t>
      </w:r>
      <w:r>
        <w:t xml:space="preserve"> </w:t>
      </w:r>
      <w:r>
        <w:t xml:space="preserve">Case Study: https://www.caphegroup.org/methods-lab/food-affordability-tradeoffs</w:t>
      </w:r>
      <w:r>
        <w:t xml:space="preserve"> </w:t>
      </w:r>
      <w:r>
        <w:t xml:space="preserve">Companion Analysis: https://tooearlytosay.com/research/food-security/food-access-vulnerability-paradox/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_354ea8021b7b1c75e6d469afbf17ae24eb9a9b8"/>
      <w:r>
        <w:t xml:space="preserve">Post #13: Neighborhood Rent Pressure, Food Shortfalls, and Chronic Disease (</w:t>
      </w:r>
      <w:r>
        <w:rPr>
          <w:rStyle w:val="VerbatimChar"/>
        </w:rPr>
        <w:t xml:space="preserve">food-insecurity-diabetes</w:t>
      </w:r>
      <w:r>
        <w:t xml:space="preserve">)</w:t>
      </w:r>
      <w:bookmarkEnd w:id="22"/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Mon, Dec 14,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2026-12-14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Food Security, CalFresh &amp; Local Cost of Living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https://www.caphegroup.org/methods-lab/food-insecurity-diabetes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https://tooearlytosay.com/research/food-security/extended-vulnerability-index/</w:t>
      </w:r>
    </w:p>
    <w:p>
      <w:pPr>
        <w:pStyle w:val="FirstParagraph"/>
      </w:pPr>
      <w:r>
        <w:t xml:space="preserve">When households face high monthly rent and rising grocery prices, food shortfalls and diabetes hospital stays reinforce each other across neighborhood lines.</w:t>
      </w:r>
    </w:p>
    <w:p>
      <w:pPr>
        <w:pStyle w:val="BodyText"/>
      </w:pPr>
      <w:r>
        <w:t xml:space="preserve">Across 408 census tracts in Santa Clara County, neighborhood poverty and rent pressure account for 62.2% of the variation in nutrition assistance need, while physical distance to the nearest supermarket adds 1.8%. In high-rent tracts where a $973 monthly family food budget competes directly with housing, pairing CalFresh enrollment navigation with medically tailored groceries targets the household budget constraint that drives emergency room visits.</w:t>
      </w:r>
    </w:p>
    <w:p>
      <w:pPr>
        <w:pStyle w:val="BodyText"/>
      </w:pPr>
      <w:r>
        <w:t xml:space="preserve">Read the case study and companion vulnerability index record:</w:t>
      </w:r>
      <w:r>
        <w:t xml:space="preserve"> </w:t>
      </w:r>
      <w:r>
        <w:t xml:space="preserve">Case Study: https://www.caphegroup.org/methods-lab/food-insecurity-diabetes</w:t>
      </w:r>
      <w:r>
        <w:t xml:space="preserve"> </w:t>
      </w:r>
      <w:r>
        <w:t xml:space="preserve">Companion Analysis: https://tooearlytosay.com/research/food-security/extended-vulnerability-index/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69da0cbff0e324cc3713c14595f4bcc54445c5c"/>
      <w:r>
        <w:t xml:space="preserve">Post #14: Supermarket Distance Cutoffs vs. Neighborhood Income in Food Access (</w:t>
      </w:r>
      <w:r>
        <w:rPr>
          <w:rStyle w:val="VerbatimChar"/>
        </w:rPr>
        <w:t xml:space="preserve">geographic-variables</w:t>
      </w:r>
      <w:r>
        <w:t xml:space="preserve">)</w:t>
      </w:r>
      <w:bookmarkEnd w:id="23"/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Wed, Dec 16,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2026-12-16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Food Security, CalFresh &amp; Local Cost of Living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https://www.caphegroup.org/methods-lab/geographic-variables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https://tooearlytosay.com/research/food-security/food-desert-myth/</w:t>
      </w:r>
    </w:p>
    <w:p>
      <w:pPr>
        <w:pStyle w:val="FirstParagraph"/>
      </w:pPr>
      <w:r>
        <w:t xml:space="preserve">Screening urban counties solely by distance to the nearest supermarket flags wealthy hillside neighborhoods while overlooking low-income renters living half a mile from a grocery store they cannot afford.</w:t>
      </w:r>
    </w:p>
    <w:p>
      <w:pPr>
        <w:pStyle w:val="BodyText"/>
      </w:pPr>
      <w:r>
        <w:t xml:space="preserve">Across 408 Santa Clara County census tracts, poverty explains 58.1 percentage points of the 62.2% model variance in CalFresh participation (r = 0.827), whereas store distance alone explains 0.003 percentage points. Only 1 of 408 Santa Clara tracts (3,252 residents, 1.218 miles from a grocer) meets the federal low-income, low-access distance cutoff. By contrast, rural counties such as Nevada (2.92 miles average store distance) and Imperial (30 of 225 tracts, 13.3%) face physical transportation barriers that require mobile markets and delivery routes.</w:t>
      </w:r>
    </w:p>
    <w:p>
      <w:pPr>
        <w:pStyle w:val="BodyText"/>
      </w:pPr>
      <w:r>
        <w:t xml:space="preserve">Read the case study and companion food-desert analysis:</w:t>
      </w:r>
      <w:r>
        <w:t xml:space="preserve"> </w:t>
      </w:r>
      <w:r>
        <w:t xml:space="preserve">Case Study: https://www.caphegroup.org/methods-lab/geographic-variables</w:t>
      </w:r>
      <w:r>
        <w:t xml:space="preserve"> </w:t>
      </w:r>
      <w:r>
        <w:t xml:space="preserve">Companion Analysis: https://tooearlytosay.com/research/food-security/food-desert-myth/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_a03ddc3505a5340c814c699a397474fcb71358e"/>
      <w:r>
        <w:t xml:space="preserve">Post #15: Nominal Medi-Cal Fee Schedules vs. Local Clinic Purchasing Power (</w:t>
      </w:r>
      <w:r>
        <w:rPr>
          <w:rStyle w:val="VerbatimChar"/>
        </w:rPr>
        <w:t xml:space="preserve">identical-data-opposite-policies</w:t>
      </w:r>
      <w:r>
        <w:t xml:space="preserve">)</w:t>
      </w:r>
      <w:bookmarkEnd w:id="24"/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Mon, Dec 21,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2026-12-21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Food Security, CalFresh &amp; Local Cost of Living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https://www.caphegroup.org/methods-lab/identical-data-opposite-policies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https://tooearlytosay.com/research/health-policy/chw-spatial-financing-medi-cal/</w:t>
      </w:r>
    </w:p>
    <w:p>
      <w:pPr>
        <w:pStyle w:val="FirstParagraph"/>
      </w:pPr>
      <w:r>
        <w:t xml:space="preserve">A single statewide Medi-Cal fee schedule pays the same nominal dollar amount per visit across California, but those dollars buy very different amounts of clinical staffing in San Francisco versus Imperial County.</w:t>
      </w:r>
    </w:p>
    <w:p>
      <w:pPr>
        <w:pStyle w:val="BodyText"/>
      </w:pPr>
      <w:r>
        <w:t xml:space="preserve">Under the CMS Practice Expense Geographic Practice Cost Index (55.6% clinical wages, 29.7% rent, 14.7% services), clinic overhead runs 50.6% above the national mean in San Francisco (1.506 index) compared with 10.0% below the mean in Imperial County (0.900 index). However, Imperial County sits at the 85th percentile of neighborhood deprivation (58.7% to 66.4% Medi-Cal coverage) while San Francisco sits at the 15th percentile. Pairing regional wage adjustments for high-cost clinics with recruitment grants and simpler billing (recovering 17.6% in claim value) addresses both constraints.</w:t>
      </w:r>
    </w:p>
    <w:p>
      <w:pPr>
        <w:pStyle w:val="BodyText"/>
      </w:pPr>
      <w:r>
        <w:t xml:space="preserve">Read the case study and statewide 58-county spatial financing analysis:</w:t>
      </w:r>
      <w:r>
        <w:t xml:space="preserve"> </w:t>
      </w:r>
      <w:r>
        <w:t xml:space="preserve">Case Study: https://www.caphegroup.org/methods-lab/identical-data-opposite-policies</w:t>
      </w:r>
      <w:r>
        <w:t xml:space="preserve"> </w:t>
      </w:r>
      <w:r>
        <w:t xml:space="preserve">Statewide Analysis: https://tooearlytosay.com/research/health-policy/chw-spatial-financing-medi-cal/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_1a7cf5f1ae6e1ac1ef75e33fd3f5bc4eb00dd49"/>
      <w:r>
        <w:t xml:space="preserve">Post #16: How Permit Deduplication Changes Official Retail Access Counts (</w:t>
      </w:r>
      <w:r>
        <w:rPr>
          <w:rStyle w:val="VerbatimChar"/>
        </w:rPr>
        <w:t xml:space="preserve">threat-measurement-instrumentation</w:t>
      </w:r>
      <w:r>
        <w:t xml:space="preserve">)</w:t>
      </w:r>
      <w:bookmarkEnd w:id="25"/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Wed, Dec 23,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2026-12-23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Food Security, CalFresh &amp; Local Cost of Living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https://www.caphegroup.org/methods-lab/threat-measurement-instrumentation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https://tooearlytosay.com/research/methodology/ebt-verification-methodology/</w:t>
      </w:r>
    </w:p>
    <w:p>
      <w:pPr>
        <w:pStyle w:val="FirstParagraph"/>
      </w:pPr>
      <w:r>
        <w:t xml:space="preserve">When a supermarket holds separate health permits for its bakery, deli, and meat counter, raw permit registries count one building as three or four food retailers.</w:t>
      </w:r>
    </w:p>
    <w:p>
      <w:pPr>
        <w:pStyle w:val="BodyText"/>
      </w:pPr>
      <w:r>
        <w:t xml:space="preserve">In Santa Clara County, deduplicating 8,555 raw health-permit records removes 1,220 multi-permit duplicates (14.3%), consolidating the registry to 7,335 unique physical locations and 724 verified SNAP-eligible food retailers (with 514 stores in the tract-level distance index at 0.573 miles mean distance vs. 0.29 miles on uncleaned lists). Auditing administrative registries before mapping service gaps prevents permit structure from masquerading as neighborhood retail supply.</w:t>
      </w:r>
    </w:p>
    <w:p>
      <w:pPr>
        <w:pStyle w:val="BodyText"/>
      </w:pPr>
      <w:r>
        <w:t xml:space="preserve">Read the case study and companion EBT verification methodology:</w:t>
      </w:r>
      <w:r>
        <w:t xml:space="preserve"> </w:t>
      </w:r>
      <w:r>
        <w:t xml:space="preserve">Case Study: https://www.caphegroup.org/methods-lab/threat-measurement-instrumentation</w:t>
      </w:r>
      <w:r>
        <w:t xml:space="preserve"> </w:t>
      </w:r>
      <w:r>
        <w:t xml:space="preserve">Companion Method Guide: https://tooearlytosay.com/research/methodology/ebt-verification-methodology/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_b06503176d3f4827e1bf283fdbf015cd6fb6984"/>
      <w:r>
        <w:t xml:space="preserve">Post #17: Separating Emergency Outbreak Surges From Routine Prevention Budgets (</w:t>
      </w:r>
      <w:r>
        <w:rPr>
          <w:rStyle w:val="VerbatimChar"/>
        </w:rPr>
        <w:t xml:space="preserve">reverse-causation-feedback</w:t>
      </w:r>
      <w:r>
        <w:t xml:space="preserve">)</w:t>
      </w:r>
      <w:bookmarkEnd w:id="26"/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Mon, Dec 28,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2026-12-28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County Public Health Budgets &amp; Mortality Returns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https://www.caphegroup.org/methods-lab/reverse-causation-feedback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https://tooearlytosay.com/research/health-policy/public-health-spending-regime-shifts/</w:t>
      </w:r>
    </w:p>
    <w:p>
      <w:pPr>
        <w:pStyle w:val="FirstParagraph"/>
      </w:pPr>
      <w:r>
        <w:t xml:space="preserve">Comparing county public health spending and death rates in the same calendar year mixes steady prevention budgets with emergency funds sent to counties during disease outbreaks.</w:t>
      </w:r>
    </w:p>
    <w:p>
      <w:pPr>
        <w:pStyle w:val="BodyText"/>
      </w:pPr>
      <w:r>
        <w:t xml:space="preserve">Across 57 California counties over 21 years (2003 to 2023, N = 1,197 county-years), a raw same-year average shows a flat +0.18 deaths per 100,000 residents per $10 per person because emergency transfers spike when mortality rises. Isolating routine budget shifts shows that each $10 per resident in baseline public health spending prevents 9.16 deaths per 100,000 ($109,170 per life saved, or $124.60 in societal value per $1 spent, and 4.56 fewer deaths per 100,000 in the 2003 to 2019 pre-pandemic window).</w:t>
      </w:r>
    </w:p>
    <w:p>
      <w:pPr>
        <w:pStyle w:val="BodyText"/>
      </w:pPr>
      <w:r>
        <w:t xml:space="preserve">Read the case study and companion 30-year panel regime analysis:</w:t>
      </w:r>
      <w:r>
        <w:t xml:space="preserve"> </w:t>
      </w:r>
      <w:r>
        <w:t xml:space="preserve">Case Study: https://www.caphegroup.org/methods-lab/reverse-causation-feedback</w:t>
      </w:r>
      <w:r>
        <w:t xml:space="preserve"> </w:t>
      </w:r>
      <w:r>
        <w:t xml:space="preserve">Companion Analysis: https://tooearlytosay.com/research/health-policy/public-health-spending-regime-shifts/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_a5afe52fe9e9b02826c68c9d3efc594528535b6"/>
      <w:r>
        <w:t xml:space="preserve">Post #18: Two Independent Checks on County Public Health Mortality Returns (</w:t>
      </w:r>
      <w:r>
        <w:rPr>
          <w:rStyle w:val="VerbatimChar"/>
        </w:rPr>
        <w:t xml:space="preserve">observational-to-experimental</w:t>
      </w:r>
      <w:r>
        <w:t xml:space="preserve">)</w:t>
      </w:r>
      <w:bookmarkEnd w:id="27"/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Wed, Dec 30, 2026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2026-12-30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County Public Health Budgets &amp; Mortality Returns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https://www.caphegroup.org/methods-lab/observational-to-experimental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https://tooearlytosay.com/research/health-policy/public-health-spending-regime-shifts/</w:t>
      </w:r>
    </w:p>
    <w:p>
      <w:pPr>
        <w:pStyle w:val="FirstParagraph"/>
      </w:pPr>
      <w:r>
        <w:t xml:space="preserve">Randomized trials are rarely feasible for countywide public health budgets, so finance committees look for independent empirical checks across decades and study designs.</w:t>
      </w:r>
    </w:p>
    <w:p>
      <w:pPr>
        <w:pStyle w:val="BodyText"/>
      </w:pPr>
      <w:r>
        <w:t xml:space="preserve">Across 57 California counties from 2003 to 2023 (1,197 county-years), isolating routine county budget shifts shows 9.16 fewer deaths per 100,000 residents per $10 per person (with a 314.1 method reliability score and 8.93 fewer deaths when excluding Los Angeles). That estimate aligns within 99.4% of Brown’s (2014) earlier 40-county California governance study (9.10 fewer deaths per 100,000 from 2001 to 2008), giving county boards two independent replications across twenty years of California fiscal records.</w:t>
      </w:r>
    </w:p>
    <w:p>
      <w:pPr>
        <w:pStyle w:val="BodyText"/>
      </w:pPr>
      <w:r>
        <w:t xml:space="preserve">Read the case study and companion public health spending analysis:</w:t>
      </w:r>
      <w:r>
        <w:t xml:space="preserve"> </w:t>
      </w:r>
      <w:r>
        <w:t xml:space="preserve">Case Study: https://www.caphegroup.org/methods-lab/observational-to-experimental</w:t>
      </w:r>
      <w:r>
        <w:t xml:space="preserve"> </w:t>
      </w:r>
      <w:r>
        <w:t xml:space="preserve">Companion Analysis: https://tooearlytosay.com/research/health-policy/public-health-spending-regime-shifts/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_dfbc2fe33bfe14ab28c7ed60023bcc871c6bdc4"/>
      <w:r>
        <w:t xml:space="preserve">Post #19: Testing County Prevention Returns Across Federal Valuation Tiers (</w:t>
      </w:r>
      <w:r>
        <w:rPr>
          <w:rStyle w:val="VerbatimChar"/>
        </w:rPr>
        <w:t xml:space="preserve">sensitivity-analysis-cea</w:t>
      </w:r>
      <w:r>
        <w:t xml:space="preserve">)</w:t>
      </w:r>
      <w:bookmarkEnd w:id="28"/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Mon, Jan 4, 2027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2027-01-04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County Public Health Budgets &amp; Mortality Returns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https://www.caphegroup.org/methods-lab/sensitivity-analysis-cea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https://tooearlytosay.com/research/health-policy/public-health-spending-regime-shifts/</w:t>
      </w:r>
    </w:p>
    <w:p>
      <w:pPr>
        <w:pStyle w:val="FirstParagraph"/>
      </w:pPr>
      <w:r>
        <w:t xml:space="preserve">When a budget committee questions the valuation assumptions behind a public health return ratio, testing the estimate across every federal valuation tier shows whether the funding decision holds up.</w:t>
      </w:r>
    </w:p>
    <w:p>
      <w:pPr>
        <w:pStyle w:val="BodyText"/>
      </w:pPr>
      <w:r>
        <w:t xml:space="preserve">Across the 57-county California public health panel ($109,170 cost per life saved at 9.16 fewer deaths per 100,000 per $10 per resident), societal returns clear the 1-to-1 cost-neutral line under every HHS 2025 valuation standard: 57.7-to-1 at the $6.3M low tier, 124.6-to-1 at the $13.6M central tier, and 189.6-to-1 at the $20.7M high tier. Even at the lower bound of the mortality estimate (6.98 fewer deaths per 100,000, or $143,266 per life saved) paired with the $6.3M valuation floor, the return remains 44.0-to-1.</w:t>
      </w:r>
    </w:p>
    <w:p>
      <w:pPr>
        <w:pStyle w:val="BodyText"/>
      </w:pPr>
      <w:r>
        <w:t xml:space="preserve">Read the case study and companion public health spending analysis:</w:t>
      </w:r>
      <w:r>
        <w:t xml:space="preserve"> </w:t>
      </w:r>
      <w:r>
        <w:t xml:space="preserve">Case Study: https://www.caphegroup.org/methods-lab/sensitivity-analysis-cea</w:t>
      </w:r>
      <w:r>
        <w:t xml:space="preserve"> </w:t>
      </w:r>
      <w:r>
        <w:t xml:space="preserve">Companion Analysis: https://tooearlytosay.com/research/health-policy/public-health-spending-regime-shifts/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_1add60d5d295046ce682cc064b9272b05e2047e"/>
      <w:r>
        <w:t xml:space="preserve">Post #20: Single-Year Rural Mortality Spikes vs. Multi-Year Pooled Baselines (</w:t>
      </w:r>
      <w:r>
        <w:rPr>
          <w:rStyle w:val="VerbatimChar"/>
        </w:rPr>
        <w:t xml:space="preserve">threat-regression-to-mean</w:t>
      </w:r>
      <w:r>
        <w:t xml:space="preserve">)</w:t>
      </w:r>
      <w:bookmarkEnd w:id="29"/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Wed, Jan 6, 2027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2027-01-06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County Public Health Budgets &amp; Mortality Returns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https://www.caphegroup.org/methods-lab/threat-regression-to-mean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https://tooearlytosay.com/research/health-policy/public-health-spending-regime-shifts/</w:t>
      </w:r>
    </w:p>
    <w:p>
      <w:pPr>
        <w:pStyle w:val="FirstParagraph"/>
      </w:pPr>
      <w:r>
        <w:t xml:space="preserve">Awarding multi-year rural health grants based on a single year’s mortality spike often mistakes small-population noise for lasting need.</w:t>
      </w:r>
    </w:p>
    <w:p>
      <w:pPr>
        <w:pStyle w:val="BodyText"/>
      </w:pPr>
      <w:r>
        <w:t xml:space="preserve">In Alpine County (1,204 residents), a single death shifts the annual mortality rate by 83.1 per 100,000. When a small county is selected right after a one-year spike, 71.5% to 89.0% of the following year’s drop (-28.4 per 100,000) reflects natural settling toward the multi-year average rather than program impact. Using 3-to-5-year pooled baselines and Empirical Bayes weights separates one-year swings from the steady -8.11 deaths per 100,000 rural prevention return (-9.16 statewide).</w:t>
      </w:r>
    </w:p>
    <w:p>
      <w:pPr>
        <w:pStyle w:val="BodyText"/>
      </w:pPr>
      <w:r>
        <w:t xml:space="preserve">Read the case study and companion public health spending analysis:</w:t>
      </w:r>
      <w:r>
        <w:t xml:space="preserve"> </w:t>
      </w:r>
      <w:r>
        <w:t xml:space="preserve">Case Study: https://www.caphegroup.org/methods-lab/threat-regression-to-mean</w:t>
      </w:r>
      <w:r>
        <w:t xml:space="preserve"> </w:t>
      </w:r>
      <w:r>
        <w:t xml:space="preserve">Companion Analysis: https://tooearlytosay.com/research/health-policy/public-health-spending-regime-shifts/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_b3896631c19a5b4f89330de07a0146056a4ccf1"/>
      <w:r>
        <w:t xml:space="preserve">Post #21: Using Comparison Groups to Separate Local Shifts From Statewide Shocks (</w:t>
      </w:r>
      <w:r>
        <w:rPr>
          <w:rStyle w:val="VerbatimChar"/>
        </w:rPr>
        <w:t xml:space="preserve">threat-history-solutions</w:t>
      </w:r>
      <w:r>
        <w:t xml:space="preserve">)</w:t>
      </w:r>
      <w:bookmarkEnd w:id="30"/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Mon, Jan 11, 2027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2027-01-11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County Public Health Budgets &amp; Mortality Returns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https://www.caphegroup.org/methods-lab/threat-history-solutions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https://tooearlytosay.com/research/methodology/when-to-use-did/</w:t>
      </w:r>
    </w:p>
    <w:p>
      <w:pPr>
        <w:pStyle w:val="FirstParagraph"/>
      </w:pPr>
      <w:r>
        <w:t xml:space="preserve">When a statewide economic shift or pandemic rule change hits every county at once, a simple before-and-after comparison blends that shared shock into local program results.</w:t>
      </w:r>
    </w:p>
    <w:p>
      <w:pPr>
        <w:pStyle w:val="BodyText"/>
      </w:pPr>
      <w:r>
        <w:t xml:space="preserve">Across Medicaid billing records from 2018 to 2024, telehealth-eligible billing providers grew 24.33% (from 91,399 in 2019 to 113,638 in 2023). Pairing that series with non-telehealth Medicaid services (which grew 18.71%, from 109,087 to 129,492) isolates the net +5.62 percentage-point divergence (+4.60 pp after pre-trend adjustment). Adding an unaffected comparison series keeps statewide shocks from distorting local evaluations.</w:t>
      </w:r>
    </w:p>
    <w:p>
      <w:pPr>
        <w:pStyle w:val="BodyText"/>
      </w:pPr>
      <w:r>
        <w:t xml:space="preserve">Read the case study and companion difference-in-differences guide:</w:t>
      </w:r>
      <w:r>
        <w:t xml:space="preserve"> </w:t>
      </w:r>
      <w:r>
        <w:t xml:space="preserve">Case Study: https://www.caphegroup.org/methods-lab/threat-history-solutions</w:t>
      </w:r>
      <w:r>
        <w:t xml:space="preserve"> </w:t>
      </w:r>
      <w:r>
        <w:t xml:space="preserve">Companion Method Guide: https://tooearlytosay.com/research/methodology/when-to-use-did/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_912f0ba13c9cc0d5033dc86f62ccfd035d001aa"/>
      <w:r>
        <w:t xml:space="preserve">Post #22: Testing How Much Trend Drift an Evaluation Can Withstand (</w:t>
      </w:r>
      <w:r>
        <w:rPr>
          <w:rStyle w:val="VerbatimChar"/>
        </w:rPr>
        <w:t xml:space="preserve">parallel-trends-power</w:t>
      </w:r>
      <w:r>
        <w:t xml:space="preserve">)</w:t>
      </w:r>
      <w:bookmarkEnd w:id="31"/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Schedule:</w:t>
      </w:r>
      <w:r>
        <w:t xml:space="preserve"> </w:t>
      </w:r>
      <w:r>
        <w:rPr>
          <w:b/>
          <w:bCs/>
        </w:rPr>
        <w:t xml:space="preserve">Wed, Jan 13, 2027 · 7:00 AM PST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2027-01-13 07:00 PST</w:t>
      </w:r>
      <w:r>
        <w:t xml:space="preserve">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SCHEDULED (CAPHE)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County Public Health Budgets &amp; Mortality Returns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Case Study URL:</w:t>
      </w:r>
      <w:r>
        <w:t xml:space="preserve"> </w:t>
      </w:r>
      <w:r>
        <w:t xml:space="preserve">https://www.caphegroup.org/methods-lab/parallel-trends-power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Companion TETS Article:</w:t>
      </w:r>
      <w:r>
        <w:t xml:space="preserve"> </w:t>
      </w:r>
      <w:r>
        <w:t xml:space="preserve">https://tooearlytosay.com/research/methodology/parallel-trends-sensitivity/</w:t>
      </w:r>
    </w:p>
    <w:p>
      <w:pPr>
        <w:pStyle w:val="FirstParagraph"/>
      </w:pPr>
      <w:r>
        <w:t xml:space="preserve">Passing a pre-policy trend test in a small sample does not guarantee that treatment and comparison groups would have stayed on parallel paths after the policy launched.</w:t>
      </w:r>
    </w:p>
    <w:p>
      <w:pPr>
        <w:pStyle w:val="BodyText"/>
      </w:pPr>
      <w:r>
        <w:t xml:space="preserve">Across 84 months of Medicaid claims, the pre-policy trend difference between telehealth-eligible and comparison services averages -0.47 percentage points (SE = 0.22 pp, 95% CI -0.91 to -0.03 pp). Reporting sensitivity bounds shows how much post-policy trend drift an evaluation can absorb before the estimated effect crosses zero, pairing the Medicaid billing series with the 57-county California public health panel (-9.16 deaths per 100,000).</w:t>
      </w:r>
    </w:p>
    <w:p>
      <w:pPr>
        <w:pStyle w:val="BodyText"/>
      </w:pPr>
      <w:r>
        <w:t xml:space="preserve">Read the case study and companion parallel-trends sensitivity guide:</w:t>
      </w:r>
      <w:r>
        <w:t xml:space="preserve"> </w:t>
      </w:r>
      <w:r>
        <w:t xml:space="preserve">Case Study: https://www.caphegroup.org/methods-lab/parallel-trends-power</w:t>
      </w:r>
      <w:r>
        <w:t xml:space="preserve"> </w:t>
      </w:r>
      <w:r>
        <w:t xml:space="preserve">Companion Method Guide: https://tooearlytosay.com/research/methodology/parallel-trends-sensitivity/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_247dc228ab7a24cb88963701b332a1287a8ef41"/>
      <w:r>
        <w:t xml:space="preserve">Held Off (PDF Preview Created — Not Scheduled)</w:t>
      </w:r>
      <w:bookmarkEnd w:id="32"/>
    </w:p>
    <w:p>
      <w:pPr>
        <w:pStyle w:val="Heading3"/>
      </w:pPr>
      <w:bookmarkStart w:id="33" w:name="_71026428a0559d22c89b0cf23933bd9999dae74"/>
      <w:r>
        <w:t xml:space="preserve">Held Post #23: Paid Family Leave Reach Across Worker Wage Tiers (</w:t>
      </w:r>
      <w:r>
        <w:rPr>
          <w:rStyle w:val="VerbatimChar"/>
        </w:rPr>
        <w:t xml:space="preserve">selection-into-treatment</w:t>
      </w:r>
      <w:r>
        <w:t xml:space="preserve">)</w:t>
      </w:r>
      <w:bookmarkEnd w:id="33"/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ON HOLD — PDF PREVIEW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outputs/caphe_case_study_selection_into_treatment.pdf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Unlisted Direct URL:</w:t>
      </w:r>
      <w:r>
        <w:t xml:space="preserve"> </w:t>
      </w:r>
      <w:r>
        <w:t xml:space="preserve">https://www.caphegroup.org/methods-lab/selection-into-treatment</w:t>
      </w:r>
    </w:p>
    <w:p>
      <w:pPr>
        <w:pStyle w:val="FirstParagraph"/>
      </w:pPr>
      <w:r>
        <w:t xml:space="preserve">Filing a Paid Family Leave claim requires an eligible employer, payroll knowledge, job protection, and enough savings to wait for state processing. As a result, voluntary claims skew toward higher-wage workers with human-resources support.</w:t>
      </w:r>
    </w:p>
    <w:p>
      <w:pPr>
        <w:pStyle w:val="BodyText"/>
      </w:pPr>
      <w:r>
        <w:t xml:space="preserve">Compare California workers earning under $20,000 a year with higher-wage workers after the 2025 SB 951 benefit expansion. Although the statute raised statutory wage replacement to 90% for lower-wage workers, actual take-up among eligible new mothers earning under $20,000 remains 41.9% (161,315 claim-filing mothers out of 385,000 eligible). Take-up reaches 77.6% among higher-wage workers. Measuring program reach solely by average benefit checks misses the 58.1% of low-wage mothers who never clear the filing hurdles.</w:t>
      </w:r>
    </w:p>
    <w:p>
      <w:pPr>
        <w:pStyle w:val="BodyText"/>
      </w:pPr>
      <w:r>
        <w:t xml:space="preserve">The full case study maps every stage of the Paid Family Leave filing funnel across wage tiers:</w:t>
      </w:r>
      <w:r>
        <w:t xml:space="preserve"> </w:t>
      </w:r>
      <w:r>
        <w:t xml:space="preserve">https://www.caphegroup.org/methods-lab/selection-into-treatment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_2fc9cfc4b3ca7cd61412d6bb035a6120415fe76"/>
      <w:r>
        <w:t xml:space="preserve">Held Post #24: Separating Policy Effects From Long-Term Trends (</w:t>
      </w:r>
      <w:r>
        <w:rPr>
          <w:rStyle w:val="VerbatimChar"/>
        </w:rPr>
        <w:t xml:space="preserve">threat-maturation-solutions</w:t>
      </w:r>
      <w:r>
        <w:t xml:space="preserve">)</w:t>
      </w:r>
      <w:bookmarkEnd w:id="34"/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ON HOLD — PDF PREVIEW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outputs/caphe_case_study_threat_maturation_solutions.pdf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Unlisted Direct URL:</w:t>
      </w:r>
      <w:r>
        <w:t xml:space="preserve"> </w:t>
      </w:r>
      <w:r>
        <w:t xml:space="preserve">https://www.caphegroup.org/methods-lab/threat-maturation-solutions</w:t>
      </w:r>
    </w:p>
    <w:p>
      <w:pPr>
        <w:pStyle w:val="FirstParagraph"/>
      </w:pPr>
      <w:r>
        <w:t xml:space="preserve">Statewide Paid Family Leave claims grow nearly every year as California’s labor force expands and awareness spreads. When a new wage-replacement law takes effect, a multi-year trend split separates steady background growth from the policy shift itself.</w:t>
      </w:r>
    </w:p>
    <w:p>
      <w:pPr>
        <w:pStyle w:val="BodyText"/>
      </w:pPr>
      <w:r>
        <w:t xml:space="preserve">Across 24 years of California Employment Development Department Paid Family Leave records (2004 to 2025), annual bonding claims rose from 152,706 to 492,043. However, bonding claims were already climbing by +5.9% per year before the 2024 taxable wage-ceiling repeal and the 2025 90% wage-replacement tier. Accounting for that 20-year baseline trend and comparing against Disability Insurance claims (+6.2%) isolates the net two-year statutory surge above trend (+15.4% in 2024 and +13.6% in 2025).</w:t>
      </w:r>
    </w:p>
    <w:p>
      <w:pPr>
        <w:pStyle w:val="BodyText"/>
      </w:pPr>
      <w:r>
        <w:t xml:space="preserve">The full case study walks through the 24-year California Paid Family Leave trend split:</w:t>
      </w:r>
      <w:r>
        <w:t xml:space="preserve"> </w:t>
      </w:r>
      <w:r>
        <w:t xml:space="preserve">https://www.caphegroup.org/methods-lab/threat-maturation-solutions</w:t>
      </w:r>
    </w:p>
    <w:p>
      <w:r>
        <w:pict>
          <v:rect style="width:0;height:1.5pt" o:hralign="center" o:hrstd="t" o:hr="t"/>
        </w:pic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2026-10-28T01:54:59Z</dcterms:created>
  <dcterms:modified xsi:type="dcterms:W3CDTF">2026-10-28T01:54:59Z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