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4"/>
        </w:rPr>
        <w:t>Victoria Cholette, MPP</w:t>
      </w:r>
    </w:p>
    <w:p>
      <w:r>
        <w:rPr>
          <w:rFonts w:ascii="Times New Roman" w:hAnsi="Times New Roman"/>
          <w:b w:val="0"/>
          <w:i w:val="0"/>
          <w:sz w:val="24"/>
        </w:rPr>
        <w:t>School of Public Health</w:t>
      </w:r>
    </w:p>
    <w:p>
      <w:r>
        <w:rPr>
          <w:rFonts w:ascii="Times New Roman" w:hAnsi="Times New Roman"/>
          <w:b w:val="0"/>
          <w:i w:val="0"/>
          <w:sz w:val="24"/>
        </w:rPr>
        <w:t>University of California, Berkeley</w:t>
      </w:r>
    </w:p>
    <w:p>
      <w:r>
        <w:rPr>
          <w:rFonts w:ascii="Times New Roman" w:hAnsi="Times New Roman"/>
          <w:b w:val="0"/>
          <w:i w:val="0"/>
          <w:sz w:val="24"/>
        </w:rPr>
        <w:t>vcholette@berkeley.edu</w:t>
      </w:r>
    </w:p>
    <w:p/>
    <w:p/>
    <w:p/>
    <w:p>
      <w:r>
        <w:rPr>
          <w:rFonts w:ascii="Times New Roman" w:hAnsi="Times New Roman"/>
          <w:b w:val="0"/>
          <w:i w:val="0"/>
          <w:sz w:val="24"/>
        </w:rPr>
        <w:t>Dear Editors,</w:t>
      </w:r>
    </w:p>
    <w:p/>
    <w:p>
      <w:r>
        <w:rPr>
          <w:rFonts w:ascii="Times New Roman" w:hAnsi="Times New Roman"/>
          <w:b w:val="0"/>
          <w:i w:val="0"/>
          <w:sz w:val="24"/>
        </w:rPr>
        <w:t>We are pleased to submit the enclosed Research Brief, "Flat-Rate Medicaid Reimbursement and Geographic Variation in Provider Participation: Evidence from California," for consideration in Health Services Research.</w:t>
      </w:r>
    </w:p>
    <w:p/>
    <w:p>
      <w:r>
        <w:rPr>
          <w:rFonts w:ascii="Times New Roman" w:hAnsi="Times New Roman"/>
          <w:b w:val="0"/>
          <w:i w:val="0"/>
          <w:sz w:val="24"/>
        </w:rPr>
        <w:t>This analysis quantifies county-level and specialty-level Medi-Cal provider participation rates across all 58 California counties, using NPPES provider registry data linked to the HHS Medicaid Provider Spending dataset. The principal finding is that provider participation correlates positively with local practice costs, contrary to what a simple reimbursement-adequacy model would predict, suggesting that urban institutional infrastructure (academic medical centers, FQHCs, large health systems) buffers against low reimbursement in ways unavailable to rural communities. Behavioral health participation is critically low statewide (median 27.3%), with seven counties below 19%.</w:t>
      </w:r>
    </w:p>
    <w:p/>
    <w:p>
      <w:r>
        <w:rPr>
          <w:rFonts w:ascii="Times New Roman" w:hAnsi="Times New Roman"/>
          <w:sz w:val="24"/>
        </w:rPr>
      </w:r>
      <w:r>
        <w:rPr>
          <w:rFonts w:ascii="Times New Roman" w:hAnsi="Times New Roman"/>
          <w:b/>
          <w:sz w:val="24"/>
        </w:rPr>
        <w:t>Timeliness.</w:t>
      </w:r>
      <w:r>
        <w:rPr>
          <w:rFonts w:ascii="Times New Roman" w:hAnsi="Times New Roman"/>
          <w:sz w:val="24"/>
        </w:rPr>
        <w:t xml:space="preserve"> This analysis is timely given the May 2024 CMS final rule (CMS-2439-F) requiring states to verify managed care provider directories against actual utilization. The data presented here offer a framework for specialty-specific network adequacy monitoring that could inform state compliance strategies.</w:t>
      </w:r>
    </w:p>
    <w:p/>
    <w:p>
      <w:r>
        <w:rPr>
          <w:rFonts w:ascii="Times New Roman" w:hAnsi="Times New Roman"/>
          <w:sz w:val="24"/>
        </w:rPr>
      </w:r>
      <w:r>
        <w:rPr>
          <w:rFonts w:ascii="Times New Roman" w:hAnsi="Times New Roman"/>
          <w:b/>
          <w:sz w:val="24"/>
        </w:rPr>
        <w:t>Interactive companion tool.</w:t>
      </w:r>
      <w:r>
        <w:rPr>
          <w:rFonts w:ascii="Times New Roman" w:hAnsi="Times New Roman"/>
          <w:sz w:val="24"/>
        </w:rPr>
        <w:t xml:space="preserve"> The county- and specialty-level data underlying this analysis are publicly available through an interactive tool at caphegroup.org/tools/access-explorer, enabling ongoing monitoring and replication.</w:t>
      </w:r>
    </w:p>
    <w:p/>
    <w:p>
      <w:r>
        <w:rPr>
          <w:rFonts w:ascii="Times New Roman" w:hAnsi="Times New Roman"/>
          <w:sz w:val="24"/>
        </w:rPr>
      </w:r>
      <w:r>
        <w:rPr>
          <w:rFonts w:ascii="Times New Roman" w:hAnsi="Times New Roman"/>
          <w:b/>
          <w:sz w:val="24"/>
        </w:rPr>
        <w:t>Open access eligibility.</w:t>
      </w:r>
      <w:r>
        <w:rPr>
          <w:rFonts w:ascii="Times New Roman" w:hAnsi="Times New Roman"/>
          <w:sz w:val="24"/>
        </w:rPr>
        <w:t xml:space="preserve"> The University of California participates in a transformative agreement with Wiley that covers article processing charges for UC-affiliated corresponding authors. We anticipate this manuscript would be eligible for APC coverage under that agreement.</w:t>
      </w:r>
    </w:p>
    <w:p/>
    <w:p>
      <w:r>
        <w:rPr>
          <w:rFonts w:ascii="Times New Roman" w:hAnsi="Times New Roman"/>
          <w:b w:val="0"/>
          <w:i w:val="0"/>
          <w:sz w:val="24"/>
        </w:rPr>
        <w:t>This manuscript has not been previously published and is not under consideration elsewhere. The author declares no conflicts of interest.</w:t>
      </w:r>
    </w:p>
    <w:p/>
    <w:p>
      <w:r>
        <w:rPr>
          <w:rFonts w:ascii="Times New Roman" w:hAnsi="Times New Roman"/>
          <w:b w:val="0"/>
          <w:i w:val="0"/>
          <w:sz w:val="24"/>
        </w:rPr>
        <w:t>We look forward to the editorial team's consideration.</w:t>
      </w:r>
    </w:p>
    <w:p/>
    <w:p>
      <w:r>
        <w:rPr>
          <w:rFonts w:ascii="Times New Roman" w:hAnsi="Times New Roman"/>
          <w:b w:val="0"/>
          <w:i w:val="0"/>
          <w:sz w:val="24"/>
        </w:rPr>
        <w:t>Sincerely,</w:t>
      </w:r>
    </w:p>
    <w:p/>
    <w:p>
      <w:r>
        <w:rPr>
          <w:rFonts w:ascii="Times New Roman" w:hAnsi="Times New Roman"/>
          <w:b w:val="0"/>
          <w:i w:val="0"/>
          <w:sz w:val="24"/>
        </w:rPr>
        <w:t>Victoria Cholette, MPP</w:t>
      </w:r>
    </w:p>
    <w:p>
      <w:r>
        <w:rPr>
          <w:rFonts w:ascii="Times New Roman" w:hAnsi="Times New Roman"/>
          <w:b w:val="0"/>
          <w:i w:val="0"/>
          <w:sz w:val="24"/>
        </w:rPr>
        <w:t>California Association of Public Health Economists (CAPHE)</w:t>
      </w:r>
    </w:p>
    <w:p>
      <w:r>
        <w:rPr>
          <w:rFonts w:ascii="Times New Roman" w:hAnsi="Times New Roman"/>
          <w:b w:val="0"/>
          <w:i w:val="0"/>
          <w:sz w:val="24"/>
        </w:rPr>
        <w:t>University of California, Berkeley</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Cholette</dc:creator>
  <cp:keywords/>
  <dc:description/>
  <cp:lastModifiedBy>Victoria Cholette</cp:lastModifiedBy>
  <cp:revision>1</cp:revision>
  <dcterms:created xsi:type="dcterms:W3CDTF">2026-02-21T01:32:25Z</dcterms:created>
  <dcterms:modified xsi:type="dcterms:W3CDTF">2026-02-21T01:32:25Z</dcterms:modified>
  <cp:category/>
</cp:coreProperties>
</file>