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CỘNG HOÀ XÃ HỘI CHỦ NGHĨA VIỆT NAM</w:t>
      </w:r>
    </w:p>
    <w:p>
      <w:pPr>
        <w:spacing w:after="120"/>
        <w:jc w:val="center"/>
      </w:pPr>
      <w:r>
        <w:rPr>
          <w:rFonts w:ascii="Times New Roman" w:cs="Times New Roman" w:eastAsia="Times New Roman" w:hAnsi="Times New Roman"/>
          <w:b/>
          <w:bCs/>
          <w:i w:val="false"/>
          <w:iCs w:val="false"/>
          <w:sz w:val="26"/>
          <w:szCs w:val="26"/>
        </w:rPr>
        <w:t xml:space="preserve">Độc lập – Tự do – Hạnh phúc</w:t>
      </w:r>
    </w:p>
    <w:p>
      <w:pPr>
        <w:spacing w:after="120"/>
        <w:jc w:val="center"/>
      </w:pPr>
      <w:r>
        <w:rPr>
          <w:rFonts w:ascii="Times New Roman" w:cs="Times New Roman" w:eastAsia="Times New Roman" w:hAnsi="Times New Roman"/>
          <w:b w:val="false"/>
          <w:bCs w:val="false"/>
          <w:i/>
          <w:iCs/>
          <w:sz w:val="26"/>
          <w:szCs w:val="26"/>
        </w:rPr>
        <w:t xml:space="preserve">Ninh Bình, ngày {NgayKy_Ngay} tháng {NgayKy_Thang} năm {NgayKy_Nam}</w:t>
      </w:r>
    </w:p>
    <w:p>
      <w:pPr>
        <w:spacing w:after="60" w:before="200"/>
        <w:jc w:val="center"/>
      </w:pPr>
      <w:r>
        <w:rPr>
          <w:rFonts w:ascii="Times New Roman" w:cs="Times New Roman" w:eastAsia="Times New Roman" w:hAnsi="Times New Roman"/>
          <w:b/>
          <w:bCs/>
          <w:i w:val="false"/>
          <w:iCs w:val="false"/>
          <w:sz w:val="32"/>
          <w:szCs w:val="32"/>
        </w:rPr>
        <w:t xml:space="preserve">HỢP ĐỒNG LAO ĐỘNG</w:t>
      </w:r>
    </w:p>
    <w:p>
      <w:pPr>
        <w:spacing w:after="240"/>
        <w:jc w:val="center"/>
      </w:pPr>
      <w:r>
        <w:rPr>
          <w:rFonts w:ascii="Times New Roman" w:cs="Times New Roman" w:eastAsia="Times New Roman" w:hAnsi="Times New Roman"/>
          <w:b w:val="false"/>
          <w:bCs w:val="false"/>
          <w:i w:val="false"/>
          <w:iCs w:val="false"/>
          <w:sz w:val="26"/>
          <w:szCs w:val="26"/>
        </w:rPr>
        <w:t xml:space="preserve">Số: {SoHopDong}/HĐLĐ - HH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Lao động số 45/2019/QH14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Luật Bảo hiểm xã hội số 41/2024/QH15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Hàng hải Việt Nam số 95/2015/QH13 và các văn bản hướng dẫn thi hành;
Căn cứ Thông tư số 23/2017/TT-BGTVT ngày 28/07/2017 của Bộ trưởng Bộ Giao thông vận tải quy định về chức danh, nhiệm vụ theo chức danh của thuyền viên và các văn bản sửa đổi, bổ sung;
Căn cứ Nội quy lao động của Công ty hiện hành;</w:t>
      </w:r>
    </w:p>
    <w:p>
      <w:pPr>
        <w:spacing w:after="120"/>
        <w:jc w:val="both"/>
      </w:pPr>
      <w:r>
        <w:rPr>
          <w:rFonts w:ascii="Times New Roman" w:cs="Times New Roman" w:eastAsia="Times New Roman" w:hAnsi="Times New Roman"/>
          <w:b w:val="false"/>
          <w:bCs w:val="false"/>
          <w:i w:val="false"/>
          <w:iCs w:val="false"/>
          <w:sz w:val="26"/>
          <w:szCs w:val="26"/>
        </w:rPr>
        <w:t xml:space="preserve">Căn cứ nhu cầu và khả năng đáp ứng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Hợp đồng lao động “HĐLĐ” này được ký ngày {NgayKy_Ngay} tháng {NgayKy_Thang} năm {NgayKy_Nam} tại Văn phòng Công ty TNHH Hoàng Hà. Địa chỉ: Quốc lộ 10, Chợ Bợi, Phường Đông Hoa Lư, tỉnh Ninh Bình bởi giữa các bên có đầy đủ tư cách giao kết hợp đồng lao động theo quy định, gồm: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BÊN SỬ DỤNG LAO ĐỘNG (Công ty)</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(NLĐ)</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Tên chính thức: Công ty TNHH Hoàng Hà</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Họ và tên: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ĐKKD: 2700272411</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CCCD: {CCCD}</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Sở KHĐT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Ngày cấp: {NgayCap}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tchc2hoangha@gmail.com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{NoiCap}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02293.854.826</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{DienThoai}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Fax: 02293.854.828</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{Email}</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Quốc lộ 10, Chợ Bợi, Phường Đông Hoa Lư,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{DiaChi}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đại diện: Bà Trần Thị Thơm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Chức vụ: Giám đốc</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Sinh ngày: {NgaySinh}</w:t>
            </w:r>
          </w:p>
        </w:tc>
      </w:tr>
    </w:tbl>
    <w:p>
      <w:pPr>
        <w:spacing w:after="6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Tùy ngữ cảnh cụ thể, mỗi bên được gọi riêng là “Bên” và hai bên được gọi chung là “Các bên”. Xét rằng:</w:t>
      </w:r>
    </w:p>
    <w:p>
      <w:pPr>
        <w:spacing w:after="120"/>
        <w:jc w:val="both"/>
      </w:pPr>
      <w:r>
        <w:rPr>
          <w:rFonts w:ascii="Times New Roman" w:cs="Times New Roman" w:eastAsia="Times New Roman" w:hAnsi="Times New Roman"/>
          <w:b w:val="false"/>
          <w:bCs w:val="false"/>
          <w:i w:val="false"/>
          <w:iCs w:val="false"/>
          <w:sz w:val="26"/>
          <w:szCs w:val="26"/>
        </w:rPr>
        <w:t xml:space="preserve">Công ty có nhu cầu tuyển dụng và sử dụng lao động phục vụ hoạt động sản xuất kinh doanh và NLĐ là cá nhân độc lập, tự thấy có đầy đủ năng lực giao kết hợp đồng lao động và có thể đáp ứng yêu cầu công việc của Công ty;</w:t>
      </w:r>
    </w:p>
    <w:p>
      <w:pPr>
        <w:spacing w:after="120"/>
        <w:jc w:val="both"/>
      </w:pPr>
      <w:r>
        <w:rPr>
          <w:rFonts w:ascii="Times New Roman" w:cs="Times New Roman" w:eastAsia="Times New Roman" w:hAnsi="Times New Roman"/>
          <w:b w:val="false"/>
          <w:bCs w:val="false"/>
          <w:i w:val="false"/>
          <w:iCs w:val="false"/>
          <w:sz w:val="26"/>
          <w:szCs w:val="26"/>
        </w:rPr>
        <w:t xml:space="preserve">Sau khi bàn bạc thống nhất, các bên đồng ý ký kết Hợp đồng này với các điều khoản và điều kiện cụ thể như sau:</w:t>
      </w:r>
    </w:p>
    <w:p>
      <w:pPr>
        <w:spacing w:after="120" w:before="200"/>
        <w:jc w:val="both"/>
      </w:pPr>
      <w:r>
        <w:rPr>
          <w:rFonts w:ascii="Times New Roman" w:cs="Times New Roman" w:eastAsia="Times New Roman" w:hAnsi="Times New Roman"/>
          <w:b/>
          <w:bCs/>
          <w:i w:val="false"/>
          <w:iCs w:val="false"/>
          <w:sz w:val="26"/>
          <w:szCs w:val="26"/>
        </w:rPr>
        <w:t xml:space="preserve">ĐIỀU 1. THỜI HẠN VÀ CÔNG VIỆC</w:t>
      </w:r>
    </w:p>
    <w:p>
      <w:pPr>
        <w:spacing w:after="120"/>
        <w:jc w:val="both"/>
      </w:pPr>
      <w:r>
        <w:rPr>
          <w:rFonts w:ascii="Times New Roman" w:cs="Times New Roman" w:eastAsia="Times New Roman" w:hAnsi="Times New Roman"/>
          <w:b w:val="false"/>
          <w:bCs w:val="false"/>
          <w:i w:val="false"/>
          <w:iCs w:val="false"/>
          <w:sz w:val="26"/>
          <w:szCs w:val="26"/>
        </w:rPr>
        <w:t xml:space="preserve">1. Loại hợp đồng lao động: {LoaiHopDong}.</w:t>
      </w:r>
    </w:p>
    <w:p>
      <w:pPr>
        <w:spacing w:after="120"/>
        <w:jc w:val="both"/>
      </w:pPr>
      <w:r>
        <w:rPr>
          <w:rFonts w:ascii="Times New Roman" w:cs="Times New Roman" w:eastAsia="Times New Roman" w:hAnsi="Times New Roman"/>
          <w:b w:val="false"/>
          <w:bCs w:val="false"/>
          <w:i w:val="false"/>
          <w:iCs w:val="false"/>
          <w:sz w:val="26"/>
          <w:szCs w:val="26"/>
        </w:rPr>
        <w:t xml:space="preserve">2. Thời gian thực hiện hợp đồng: Kể từ ngày {NgayBatDau} đến ngày {NgayKetThuc}.</w:t>
      </w:r>
    </w:p>
    <w:p>
      <w:pPr>
        <w:spacing w:after="120"/>
        <w:jc w:val="both"/>
      </w:pPr>
      <w:r>
        <w:rPr>
          <w:rFonts w:ascii="Times New Roman" w:cs="Times New Roman" w:eastAsia="Times New Roman" w:hAnsi="Times New Roman"/>
          <w:b w:val="false"/>
          <w:bCs w:val="false"/>
          <w:i w:val="false"/>
          <w:iCs w:val="false"/>
          <w:sz w:val="26"/>
          <w:szCs w:val="26"/>
        </w:rPr>
        <w:t xml:space="preserve">3. Chức vụ chuyên môn: {ChucDanh} Bộ phận công tác: {BoPhan} –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4. Địa điểm làm việc: Tàu Hoàng Hà Ocean.</w:t>
      </w:r>
    </w:p>
    <w:p>
      <w:pPr>
        <w:spacing w:after="120"/>
        <w:jc w:val="both"/>
      </w:pPr>
      <w:r>
        <w:rPr>
          <w:rFonts w:ascii="Times New Roman" w:cs="Times New Roman" w:eastAsia="Times New Roman" w:hAnsi="Times New Roman"/>
          <w:b w:val="false"/>
          <w:bCs w:val="false"/>
          <w:i w:val="false"/>
          <w:iCs w:val="false"/>
          <w:sz w:val="26"/>
          <w:szCs w:val="26"/>
        </w:rPr>
        <w:t xml:space="preserve">5. Công việc phải làm: Có trách nhiệm thực hiện các nhiệm vụ theo quy định của pháp luật hàng hải Việt Nam. Theo Điều 10 Chương II trong Thông tư số 23/2017/TT-BGTVT ngày 28/07/2017 quy định về chức danh, nhiệm vụ theo chức danh của thuyền viên và đăng ký thuyền viên làm việc trên tàu biển Việt Nam và các văn bản sửa đổi, bổ sung. Chịu trách nhiệm trước Ban Giám đốc và trước pháp luật về công việc của mình đảm nhiệm.</w:t>
      </w:r>
    </w:p>
    <w:p>
      <w:pPr>
        <w:spacing w:after="120" w:before="200"/>
        <w:jc w:val="both"/>
      </w:pPr>
      <w:r>
        <w:rPr>
          <w:rFonts w:ascii="Times New Roman" w:cs="Times New Roman" w:eastAsia="Times New Roman" w:hAnsi="Times New Roman"/>
          <w:b/>
          <w:bCs/>
          <w:i w:val="false"/>
          <w:iCs w:val="false"/>
          <w:sz w:val="26"/>
          <w:szCs w:val="26"/>
        </w:rPr>
        <w:t xml:space="preserve">ĐIỀU 2. THỜI GIỜ LÀM VIỆC VÀ NGHỈ NGƠI</w:t>
      </w:r>
    </w:p>
    <w:p>
      <w:pPr>
        <w:spacing w:after="120"/>
        <w:jc w:val="both"/>
      </w:pPr>
      <w:r>
        <w:rPr>
          <w:rFonts w:ascii="Times New Roman" w:cs="Times New Roman" w:eastAsia="Times New Roman" w:hAnsi="Times New Roman"/>
          <w:b w:val="false"/>
          <w:bCs w:val="false"/>
          <w:i w:val="false"/>
          <w:iCs w:val="false"/>
          <w:sz w:val="26"/>
          <w:szCs w:val="26"/>
        </w:rPr>
        <w:t xml:space="preserve">- Thời giờ làm việc: Theo sự phân công trực tiếp của Trưởng phòng Quản lý và Khai thác và Ban lãnh đạo tàu Hoàng Hà Ocean. Tuân thủ thời gian làm việc, thời giờ nghỉ ngơi do Công ty, pháp luật lao động và pháp luật hàng hải Việt Nam quy định.</w:t>
      </w:r>
    </w:p>
    <w:p>
      <w:pPr>
        <w:spacing w:after="120"/>
        <w:jc w:val="both"/>
      </w:pPr>
      <w:r>
        <w:rPr>
          <w:rFonts w:ascii="Times New Roman" w:cs="Times New Roman" w:eastAsia="Times New Roman" w:hAnsi="Times New Roman"/>
          <w:b w:val="false"/>
          <w:bCs w:val="false"/>
          <w:i w:val="false"/>
          <w:iCs w:val="false"/>
          <w:sz w:val="26"/>
          <w:szCs w:val="26"/>
        </w:rPr>
        <w:t xml:space="preserve">- Chế độ trực ca: NLĐ làm việc theo chế độ ca, kíp trực do thuyền trưởng và máy trưởng phân công phù hợp với yêu cầu khai thác, an toàn của tàu và chức danh đảm nhiệm.</w:t>
      </w:r>
    </w:p>
    <w:p>
      <w:pPr>
        <w:spacing w:after="120"/>
        <w:jc w:val="both"/>
      </w:pPr>
      <w:r>
        <w:rPr>
          <w:rFonts w:ascii="Times New Roman" w:cs="Times New Roman" w:eastAsia="Times New Roman" w:hAnsi="Times New Roman"/>
          <w:b w:val="false"/>
          <w:bCs w:val="false"/>
          <w:i w:val="false"/>
          <w:iCs w:val="false"/>
          <w:sz w:val="26"/>
          <w:szCs w:val="26"/>
        </w:rPr>
        <w:t xml:space="preserve">- Thời giờ nghỉ ngơi tối thiểu: NLĐ được bảo đảm thời giờ nghỉ ngơi tối thiểu theo quy định của pháp luật lao động và pháp luật hàng hải, nhằm bảo đảm an toàn và phòng ngừa mệt mỏi.</w:t>
      </w:r>
    </w:p>
    <w:p>
      <w:pPr>
        <w:spacing w:after="120"/>
        <w:jc w:val="both"/>
      </w:pPr>
      <w:r>
        <w:rPr>
          <w:rFonts w:ascii="Times New Roman" w:cs="Times New Roman" w:eastAsia="Times New Roman" w:hAnsi="Times New Roman"/>
          <w:b w:val="false"/>
          <w:bCs w:val="false"/>
          <w:i w:val="false"/>
          <w:iCs w:val="false"/>
          <w:sz w:val="26"/>
          <w:szCs w:val="26"/>
        </w:rPr>
        <w:t xml:space="preserve">- Nghỉ hằng tuần, nghỉ lễ, tết: Do đặc thù tàu hoạt động theo hành trình liên tục, trường hợp NLĐ phải làm việc vào ngày nghỉ hằng tuần, ngày nghỉ lễ, tết khi tàu đang hành trình thì được bố trí nghỉ bù tương ứng khi tàu về cảng hoặc khi NLĐ nghỉ phép. Phần tiền lương làm thêm giờ (nếu có) được xác định và thanh toán theo quy định của Bộ luật Lao động và quy chế trả lương của Công ty.</w:t>
      </w:r>
    </w:p>
    <w:p>
      <w:pPr>
        <w:spacing w:after="120"/>
        <w:jc w:val="both"/>
      </w:pPr>
      <w:r>
        <w:rPr>
          <w:rFonts w:ascii="Times New Roman" w:cs="Times New Roman" w:eastAsia="Times New Roman" w:hAnsi="Times New Roman"/>
          <w:b w:val="false"/>
          <w:bCs w:val="false"/>
          <w:i w:val="false"/>
          <w:iCs w:val="false"/>
          <w:sz w:val="26"/>
          <w:szCs w:val="26"/>
        </w:rPr>
        <w:t xml:space="preserve">- Căn cứ vị trí công việc và yêu cầu thực tế, NLĐ được Công ty bố trí, cấp phát dụng cụ, phương tiện làm việc, trang thiết bị bảo hộ lao động và các điều kiện làm việc cần thiết khác theo quy định của Công ty.</w:t>
      </w:r>
    </w:p>
    <w:p>
      <w:pPr>
        <w:spacing w:after="120" w:before="200"/>
        <w:jc w:val="both"/>
      </w:pPr>
      <w:r>
        <w:rPr>
          <w:rFonts w:ascii="Times New Roman" w:cs="Times New Roman" w:eastAsia="Times New Roman" w:hAnsi="Times New Roman"/>
          <w:b/>
          <w:bCs/>
          <w:i w:val="false"/>
          <w:iCs w:val="false"/>
          <w:sz w:val="26"/>
          <w:szCs w:val="26"/>
        </w:rPr>
        <w:t xml:space="preserve">ĐIỀU 3. LƯƠNG, THƯỞNG VÀ CÁC CHẾ ĐỘ PHÚC LỢI</w:t>
      </w:r>
    </w:p>
    <w:p>
      <w:pPr>
        <w:spacing w:after="120"/>
        <w:jc w:val="both"/>
      </w:pPr>
      <w:r>
        <w:rPr>
          <w:rFonts w:ascii="Times New Roman" w:cs="Times New Roman" w:eastAsia="Times New Roman" w:hAnsi="Times New Roman"/>
          <w:b w:val="false"/>
          <w:bCs w:val="false"/>
          <w:i w:val="false"/>
          <w:iCs w:val="false"/>
          <w:sz w:val="26"/>
          <w:szCs w:val="26"/>
        </w:rPr>
        <w:t xml:space="preserve">1. Mức lương chức danh: {LuongChucDanh} VNĐ/tháng. Mức lương này tính theo số ngày công thực tế và là căn cứ để đóng BHXH, BHYT, BHTN.</w:t>
      </w:r>
    </w:p>
    <w:p>
      <w:pPr>
        <w:spacing w:after="120"/>
        <w:jc w:val="both"/>
      </w:pPr>
      <w:r>
        <w:rPr>
          <w:rFonts w:ascii="Times New Roman" w:cs="Times New Roman" w:eastAsia="Times New Roman" w:hAnsi="Times New Roman"/>
          <w:b w:val="false"/>
          <w:bCs w:val="false"/>
          <w:i w:val="false"/>
          <w:iCs w:val="false"/>
          <w:sz w:val="26"/>
          <w:szCs w:val="26"/>
        </w:rPr>
        <w:t xml:space="preserve">2. Phụ cấp lương, các khoản bổ sung khác (nếu có): Được hưởng theo quy chế trả lương, trả thưởng chung của toàn Công ty.</w:t>
      </w:r>
    </w:p>
    <w:p>
      <w:pPr>
        <w:spacing w:after="120"/>
        <w:jc w:val="both"/>
      </w:pPr>
      <w:r>
        <w:rPr>
          <w:rFonts w:ascii="Times New Roman" w:cs="Times New Roman" w:eastAsia="Times New Roman" w:hAnsi="Times New Roman"/>
          <w:b w:val="false"/>
          <w:bCs w:val="false"/>
          <w:i w:val="false"/>
          <w:iCs w:val="false"/>
          <w:sz w:val="26"/>
          <w:szCs w:val="26"/>
        </w:rPr>
        <w:t xml:space="preserve">3. Hình thức trả lương: Bằng tiền Việt Nam đồng, chuyển khoản vào tài khoản ngân hàng của NLĐ hoặc hình thức khác theo quy định hoặc thông báo từ Công ty.</w:t>
      </w:r>
    </w:p>
    <w:p>
      <w:pPr>
        <w:spacing w:after="120"/>
        <w:jc w:val="both"/>
      </w:pPr>
      <w:r>
        <w:rPr>
          <w:rFonts w:ascii="Times New Roman" w:cs="Times New Roman" w:eastAsia="Times New Roman" w:hAnsi="Times New Roman"/>
          <w:b w:val="false"/>
          <w:bCs w:val="false"/>
          <w:i w:val="false"/>
          <w:iCs w:val="false"/>
          <w:sz w:val="26"/>
          <w:szCs w:val="26"/>
        </w:rPr>
        <w:t xml:space="preserve">4. Kỳ hạn trả lương: Tiền lương tháng và các khoản phụ cấp, hỗ trợ (nếu có) được thanh toán từ ngày 05 đến ngày 10 hằng tháng của tháng thứ hai kế tiếp; Các khoản thưởng, khoản khuyến khích ngoài lương hoặc khoản thu nhập biến động không cố định (nếu có) được thanh toán vào ngày cuối cùng của tháng kế tiếp; Trường hợp thời điểm trả lương trùng ngày lễ, ngày nghỉ theo quy định thì được trả vào ngày làm việc tiếp theo.</w:t>
      </w:r>
    </w:p>
    <w:p>
      <w:pPr>
        <w:spacing w:after="120"/>
        <w:jc w:val="both"/>
      </w:pPr>
      <w:r>
        <w:rPr>
          <w:rFonts w:ascii="Times New Roman" w:cs="Times New Roman" w:eastAsia="Times New Roman" w:hAnsi="Times New Roman"/>
          <w:b w:val="false"/>
          <w:bCs w:val="false"/>
          <w:i w:val="false"/>
          <w:iCs w:val="false"/>
          <w:sz w:val="26"/>
          <w:szCs w:val="26"/>
        </w:rPr>
        <w:t xml:space="preserve">5. Tiền thưởng: Tùy theo thành tích cụ thể công việc hoàn thành được xét duyệt theo quy chế khen thưởng của Công ty.</w:t>
      </w:r>
    </w:p>
    <w:p>
      <w:pPr>
        <w:spacing w:after="120"/>
        <w:jc w:val="both"/>
      </w:pPr>
      <w:r>
        <w:rPr>
          <w:rFonts w:ascii="Times New Roman" w:cs="Times New Roman" w:eastAsia="Times New Roman" w:hAnsi="Times New Roman"/>
          <w:b w:val="false"/>
          <w:bCs w:val="false"/>
          <w:i w:val="false"/>
          <w:iCs w:val="false"/>
          <w:sz w:val="26"/>
          <w:szCs w:val="26"/>
        </w:rPr>
        <w:t xml:space="preserve">6. Chế độ nâng lương: Việc xét nâng lương được thực hiện theo Quy chế lương, kết quả đánh giá công việc và quy định của Công ty từng thời kỳ.</w:t>
      </w:r>
    </w:p>
    <w:p>
      <w:pPr>
        <w:spacing w:after="120"/>
        <w:jc w:val="both"/>
      </w:pPr>
      <w:r>
        <w:rPr>
          <w:rFonts w:ascii="Times New Roman" w:cs="Times New Roman" w:eastAsia="Times New Roman" w:hAnsi="Times New Roman"/>
          <w:b w:val="false"/>
          <w:bCs w:val="false"/>
          <w:i w:val="false"/>
          <w:iCs w:val="false"/>
          <w:sz w:val="26"/>
          <w:szCs w:val="26"/>
        </w:rPr>
        <w:t xml:space="preserve">7. Bảo hộ lao động: Khi lao động ở những nơi quy định phải bảo hộ thì được cung cấp những thiết bị an toàn theo yêu cầu của công việc.</w:t>
      </w:r>
    </w:p>
    <w:p>
      <w:pPr>
        <w:spacing w:after="120"/>
        <w:jc w:val="both"/>
      </w:pPr>
      <w:r>
        <w:rPr>
          <w:rFonts w:ascii="Times New Roman" w:cs="Times New Roman" w:eastAsia="Times New Roman" w:hAnsi="Times New Roman"/>
          <w:b w:val="false"/>
          <w:bCs w:val="false"/>
          <w:i w:val="false"/>
          <w:iCs w:val="false"/>
          <w:sz w:val="26"/>
          <w:szCs w:val="26"/>
        </w:rPr>
        <w:t xml:space="preserve">8. Chế độ đào tạo: Được Công ty đào tạo một số nghiệp vụ, chuyên môn để phục vụ công việc theo đặc thù kinh doanh của Công ty.</w:t>
      </w:r>
    </w:p>
    <w:p>
      <w:pPr>
        <w:spacing w:after="120"/>
        <w:jc w:val="both"/>
      </w:pPr>
      <w:r>
        <w:rPr>
          <w:rFonts w:ascii="Times New Roman" w:cs="Times New Roman" w:eastAsia="Times New Roman" w:hAnsi="Times New Roman"/>
          <w:b w:val="false"/>
          <w:bCs w:val="false"/>
          <w:i w:val="false"/>
          <w:iCs w:val="false"/>
          <w:sz w:val="26"/>
          <w:szCs w:val="26"/>
        </w:rPr>
        <w:t xml:space="preserve">9. BHXH, BHYT, BHTN: NLĐ được tham gia đầy đủ chế độ Bảo hiểm theo quy định của Luật BHXH.</w:t>
      </w:r>
    </w:p>
    <w:p>
      <w:pPr>
        <w:spacing w:after="120"/>
        <w:jc w:val="both"/>
      </w:pPr>
      <w:r>
        <w:rPr>
          <w:rFonts w:ascii="Times New Roman" w:cs="Times New Roman" w:eastAsia="Times New Roman" w:hAnsi="Times New Roman"/>
          <w:b w:val="false"/>
          <w:bCs w:val="false"/>
          <w:i w:val="false"/>
          <w:iCs w:val="false"/>
          <w:sz w:val="26"/>
          <w:szCs w:val="26"/>
        </w:rPr>
        <w:t xml:space="preserve">10. Bảo hiểm thân thể: Được Công ty mua bảo hiểm tai nạn thuyền viên 24/24.</w:t>
      </w:r>
    </w:p>
    <w:p>
      <w:pPr>
        <w:spacing w:after="120"/>
        <w:jc w:val="both"/>
      </w:pPr>
      <w:r>
        <w:rPr>
          <w:rFonts w:ascii="Times New Roman" w:cs="Times New Roman" w:eastAsia="Times New Roman" w:hAnsi="Times New Roman"/>
          <w:b w:val="false"/>
          <w:bCs w:val="false"/>
          <w:i w:val="false"/>
          <w:iCs w:val="false"/>
          <w:sz w:val="26"/>
          <w:szCs w:val="26"/>
        </w:rPr>
        <w:t xml:space="preserve">11. Thuế TNCN: Trường hợp phát sinh thuế TNCN, Công ty có trách nhiệm kê khai và nộp thay cho NLĐ theo quy định pháp luật.</w:t>
      </w:r>
    </w:p>
    <w:p>
      <w:pPr>
        <w:spacing w:after="120" w:before="200"/>
        <w:jc w:val="both"/>
      </w:pPr>
      <w:r>
        <w:rPr>
          <w:rFonts w:ascii="Times New Roman" w:cs="Times New Roman" w:eastAsia="Times New Roman" w:hAnsi="Times New Roman"/>
          <w:b/>
          <w:bCs/>
          <w:i w:val="false"/>
          <w:iCs w:val="false"/>
          <w:sz w:val="26"/>
          <w:szCs w:val="26"/>
        </w:rPr>
        <w:t xml:space="preserve">ĐIỀU 4. NGHĨA VỤ VÀ QUYỀN HẠN CỦA CÁC BÊN</w:t>
      </w:r>
    </w:p>
    <w:p>
      <w:pPr>
        <w:spacing w:after="120"/>
        <w:jc w:val="both"/>
      </w:pPr>
      <w:r>
        <w:rPr>
          <w:rFonts w:ascii="Times New Roman" w:cs="Times New Roman" w:eastAsia="Times New Roman" w:hAnsi="Times New Roman"/>
          <w:b w:val="false"/>
          <w:bCs w:val="false"/>
          <w:i w:val="false"/>
          <w:iCs w:val="false"/>
          <w:sz w:val="26"/>
          <w:szCs w:val="26"/>
        </w:rPr>
        <w:t xml:space="preserve">1. Nghĩa vụ và Quyền hạn của NLĐ</w:t>
      </w:r>
    </w:p>
    <w:p>
      <w:pPr>
        <w:spacing w:after="120"/>
        <w:jc w:val="both"/>
      </w:pPr>
      <w:r>
        <w:rPr>
          <w:rFonts w:ascii="Times New Roman" w:cs="Times New Roman" w:eastAsia="Times New Roman" w:hAnsi="Times New Roman"/>
          <w:b w:val="false"/>
          <w:bCs w:val="false"/>
          <w:i w:val="false"/>
          <w:iCs w:val="false"/>
          <w:sz w:val="26"/>
          <w:szCs w:val="26"/>
        </w:rPr>
        <w:t xml:space="preserve">- Hoàn thành những công việc đã cam kết trong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 Chấp hành lệnh điều hành sản xuất kinh doanh, Nội quy kỷ luật lao động, an toàn lao động và các quy chế quản lý khác của Công ty; phục tùng sự phân công công tác của cấp quản lý trực tiếp.</w:t>
      </w:r>
    </w:p>
    <w:p>
      <w:pPr>
        <w:spacing w:after="120"/>
        <w:jc w:val="both"/>
      </w:pPr>
      <w:r>
        <w:rPr>
          <w:rFonts w:ascii="Times New Roman" w:cs="Times New Roman" w:eastAsia="Times New Roman" w:hAnsi="Times New Roman"/>
          <w:b w:val="false"/>
          <w:bCs w:val="false"/>
          <w:i w:val="false"/>
          <w:iCs w:val="false"/>
          <w:sz w:val="26"/>
          <w:szCs w:val="26"/>
        </w:rPr>
        <w:t xml:space="preserve">- Duy trì giấy chứng nhận khả năng chuyên môn, chứng chỉ chuyên môn và các giấy tờ, chứng chỉ cần thiết khác phù hợp với chức danh đảm nhiệm còn hiệu lực trong suốt thời gian làm việc trên tàu.</w:t>
      </w:r>
    </w:p>
    <w:p>
      <w:pPr>
        <w:spacing w:after="120"/>
        <w:jc w:val="both"/>
      </w:pPr>
      <w:r>
        <w:rPr>
          <w:rFonts w:ascii="Times New Roman" w:cs="Times New Roman" w:eastAsia="Times New Roman" w:hAnsi="Times New Roman"/>
          <w:b w:val="false"/>
          <w:bCs w:val="false"/>
          <w:i w:val="false"/>
          <w:iCs w:val="false"/>
          <w:sz w:val="26"/>
          <w:szCs w:val="26"/>
        </w:rPr>
        <w:t xml:space="preserve">- Tuân thủ các quy định về an toàn hàng hải và phòng ngừa ô nhiễm môi trường theo Hệ thống quản lý an toàn (ISM Code) và quy trình an toàn của tàu.</w:t>
      </w:r>
    </w:p>
    <w:p>
      <w:pPr>
        <w:spacing w:after="120"/>
        <w:jc w:val="both"/>
      </w:pPr>
      <w:r>
        <w:rPr>
          <w:rFonts w:ascii="Times New Roman" w:cs="Times New Roman" w:eastAsia="Times New Roman" w:hAnsi="Times New Roman"/>
          <w:b w:val="false"/>
          <w:bCs w:val="false"/>
          <w:i w:val="false"/>
          <w:iCs w:val="false"/>
          <w:sz w:val="26"/>
          <w:szCs w:val="26"/>
        </w:rPr>
        <w:t xml:space="preserve">- Bồi thường vi phạm và vật chất: NLĐ làm thiệt hại đến tài sản, uy tín của Công ty hoặc ảnh hưởng đến hoạt động kinh doanh của Công ty thì phải bồi thường chi phí có liên quan và chịu trách nhiệm trước pháp luật nếu mức độ nghiêm trọng.</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Hợp đồng có hiệu lực và trong vòng 24 tháng kể từ ngày chấm dứt Hợp đồng, NLĐ cam kết giữ bí mật và không sử dụng, tiết lộ hoặc cung cấp cho bất kỳ bên thứ ba nào thông tin khách hàng, tài liệu, bí mật kinh doanh và các thông tin mật khác của Công ty (“Thông tin mật”) khi chưa được Công ty chấp thuận bằng văn bản, trừ thông tin đã được công khai hợp pháp không do lỗi của NLĐ hoặc thông tin phải cung cấp theo yêu cầu của cơ quan nhà nước có thẩm quyền. Nếu vi phạm, NLĐ phải bồi thường thiệt hại và chịu trách nhiệm trước pháp luật.</w:t>
      </w:r>
    </w:p>
    <w:p>
      <w:pPr>
        <w:spacing w:after="120"/>
        <w:jc w:val="both"/>
      </w:pPr>
      <w:r>
        <w:rPr>
          <w:rFonts w:ascii="Times New Roman" w:cs="Times New Roman" w:eastAsia="Times New Roman" w:hAnsi="Times New Roman"/>
          <w:b w:val="false"/>
          <w:bCs w:val="false"/>
          <w:i w:val="false"/>
          <w:iCs w:val="false"/>
          <w:sz w:val="26"/>
          <w:szCs w:val="26"/>
        </w:rPr>
        <w:t xml:space="preserve">2. Nghĩa vụ và quyền hạn của Người sử dụng lao động</w:t>
      </w:r>
    </w:p>
    <w:p>
      <w:pPr>
        <w:spacing w:after="120"/>
        <w:jc w:val="both"/>
      </w:pPr>
      <w:r>
        <w:rPr>
          <w:rFonts w:ascii="Times New Roman" w:cs="Times New Roman" w:eastAsia="Times New Roman" w:hAnsi="Times New Roman"/>
          <w:b w:val="false"/>
          <w:bCs w:val="false"/>
          <w:i w:val="false"/>
          <w:iCs w:val="false"/>
          <w:sz w:val="26"/>
          <w:szCs w:val="26"/>
        </w:rPr>
        <w:t xml:space="preserve">- Bảo đảm việc làm và thực hiện đầy đủ những điều đã cam kết trong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 Thanh toán đầy đủ, đúng thời hạn các chế độ, quyền lợi cho NLĐ theo hợp đồng.</w:t>
      </w:r>
    </w:p>
    <w:p>
      <w:pPr>
        <w:spacing w:after="120"/>
        <w:jc w:val="both"/>
      </w:pPr>
      <w:r>
        <w:rPr>
          <w:rFonts w:ascii="Times New Roman" w:cs="Times New Roman" w:eastAsia="Times New Roman" w:hAnsi="Times New Roman"/>
          <w:b w:val="false"/>
          <w:bCs w:val="false"/>
          <w:i w:val="false"/>
          <w:iCs w:val="false"/>
          <w:sz w:val="26"/>
          <w:szCs w:val="26"/>
        </w:rPr>
        <w:t xml:space="preserve">- Điều hành NLĐ hoàn thành công việc theo hợp đồng (bố trí, điều chuyển, tạm ngừng việc…).</w:t>
      </w:r>
    </w:p>
    <w:p>
      <w:pPr>
        <w:spacing w:after="120"/>
        <w:jc w:val="both"/>
      </w:pPr>
      <w:r>
        <w:rPr>
          <w:rFonts w:ascii="Times New Roman" w:cs="Times New Roman" w:eastAsia="Times New Roman" w:hAnsi="Times New Roman"/>
          <w:b w:val="false"/>
          <w:bCs w:val="false"/>
          <w:i w:val="false"/>
          <w:iCs w:val="false"/>
          <w:sz w:val="26"/>
          <w:szCs w:val="26"/>
        </w:rPr>
        <w:t xml:space="preserve">- Tạm hoãn, chấm dứt hợp đồng lao động, kỷ luật NLĐ theo quy định của pháp luật và Nội quy lao động của Công ty.</w:t>
      </w:r>
    </w:p>
    <w:p>
      <w:pPr>
        <w:spacing w:after="120" w:before="200"/>
        <w:jc w:val="both"/>
      </w:pPr>
      <w:r>
        <w:rPr>
          <w:rFonts w:ascii="Times New Roman" w:cs="Times New Roman" w:eastAsia="Times New Roman" w:hAnsi="Times New Roman"/>
          <w:b/>
          <w:bCs/>
          <w:i w:val="false"/>
          <w:iCs w:val="false"/>
          <w:sz w:val="26"/>
          <w:szCs w:val="26"/>
        </w:rPr>
        <w:t xml:space="preserve">ĐIỀU 5. TẠM HOÃN, CHẤM DỨT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1. Việc tạm hoãn thực hiện, chấm dứt hợp đồng lao động được thực hiện theo các trường hợp quy định tại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2. Mỗi bên có quyền đơn phương chấm dứt hợp đồng lao động theo quy định của Bộ luật Lao động. Bên đơn phương chấm dứt phải báo trước cho bên kia ít nhất 30 ngày đối với hợp đồng lao động xác định thời hạn, trừ các trường hợp được chấm dứt mà không cần báo trước hoặc có thời hạn báo trước khác theo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3. Khi chấm dứt hợp đồng lao động, các bên có trách nhiệm thanh toán đầy đủ các khoản có liên quan đến quyền lợi của mỗi bên và hoàn thành thủ tục bàn giao theo quy định của Công ty và pháp luật.</w:t>
      </w:r>
    </w:p>
    <w:p>
      <w:pPr>
        <w:spacing w:after="120" w:before="200"/>
        <w:jc w:val="both"/>
      </w:pPr>
      <w:r>
        <w:rPr>
          <w:rFonts w:ascii="Times New Roman" w:cs="Times New Roman" w:eastAsia="Times New Roman" w:hAnsi="Times New Roman"/>
          <w:b/>
          <w:bCs/>
          <w:i w:val="false"/>
          <w:iCs w:val="false"/>
          <w:sz w:val="26"/>
          <w:szCs w:val="26"/>
        </w:rPr>
        <w:t xml:space="preserve">ĐIỀU 6. KỶ LUẬT LAO ĐỘNG VÀ TRÁCH NHIỆM VẬT CHẤT</w:t>
      </w:r>
    </w:p>
    <w:p>
      <w:pPr>
        <w:spacing w:after="120"/>
        <w:jc w:val="both"/>
      </w:pPr>
      <w:r>
        <w:rPr>
          <w:rFonts w:ascii="Times New Roman" w:cs="Times New Roman" w:eastAsia="Times New Roman" w:hAnsi="Times New Roman"/>
          <w:b w:val="false"/>
          <w:bCs w:val="false"/>
          <w:i w:val="false"/>
          <w:iCs w:val="false"/>
          <w:sz w:val="26"/>
          <w:szCs w:val="26"/>
        </w:rPr>
        <w:t xml:space="preserve">1. NLĐ có nghĩa vụ chấp hành Nội quy lao động, quy chế và các quy định khác của Công ty. Trường hợp vi phạm, NLĐ bị xử lý kỷ luật lao động theo các hình thức và trình tự, thủ tục quy định tại Bộ luật Lao động và Nội quy lao động của Công ty.</w:t>
      </w:r>
    </w:p>
    <w:p>
      <w:pPr>
        <w:spacing w:after="120"/>
        <w:jc w:val="both"/>
      </w:pPr>
      <w:r>
        <w:rPr>
          <w:rFonts w:ascii="Times New Roman" w:cs="Times New Roman" w:eastAsia="Times New Roman" w:hAnsi="Times New Roman"/>
          <w:b w:val="false"/>
          <w:bCs w:val="false"/>
          <w:i w:val="false"/>
          <w:iCs w:val="false"/>
          <w:sz w:val="26"/>
          <w:szCs w:val="26"/>
        </w:rPr>
        <w:t xml:space="preserve">2. Việc xử lý kỷ luật lao động được thực hiện đúng nguyên tắc, thời hiệu và thủ tục theo quy định của pháp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3. NLĐ có hành vi gây thiệt hại đến tài sản, lợi ích của Công ty hoặc làm mất dụng cụ, thiết bị, tài sản được giao thì phải bồi thường theo quy định của Bộ luật Lao động, Nội quy lao động và quy định của Công ty.</w:t>
      </w:r>
    </w:p>
    <w:p>
      <w:pPr>
        <w:spacing w:after="120"/>
        <w:jc w:val="both"/>
      </w:pPr>
      <w:r>
        <w:rPr>
          <w:rFonts w:ascii="Times New Roman" w:cs="Times New Roman" w:eastAsia="Times New Roman" w:hAnsi="Times New Roman"/>
          <w:b w:val="false"/>
          <w:bCs w:val="false"/>
          <w:i w:val="false"/>
          <w:iCs w:val="false"/>
          <w:sz w:val="26"/>
          <w:szCs w:val="26"/>
        </w:rPr>
        <w:t xml:space="preserve">4. Mức bồi thường, phương thức và thời hạn bồi thường thiệt hại được xác định căn cứ vào mức độ lỗi, mức độ thiệt hại thực tế và hoàn cảnh thực tế của NLĐ theo quy định của pháp luật.</w:t>
      </w:r>
    </w:p>
    <w:p>
      <w:pPr>
        <w:spacing w:after="120" w:before="200"/>
        <w:jc w:val="both"/>
      </w:pPr>
      <w:r>
        <w:rPr>
          <w:rFonts w:ascii="Times New Roman" w:cs="Times New Roman" w:eastAsia="Times New Roman" w:hAnsi="Times New Roman"/>
          <w:b/>
          <w:bCs/>
          <w:i w:val="false"/>
          <w:iCs w:val="false"/>
          <w:sz w:val="26"/>
          <w:szCs w:val="26"/>
        </w:rPr>
        <w:t xml:space="preserve">ĐIỀU 7. ĐIỀU KHOẢN THI HÀNH</w:t>
      </w:r>
    </w:p>
    <w:p>
      <w:pPr>
        <w:spacing w:after="120"/>
        <w:jc w:val="both"/>
      </w:pPr>
      <w:r>
        <w:rPr>
          <w:rFonts w:ascii="Times New Roman" w:cs="Times New Roman" w:eastAsia="Times New Roman" w:hAnsi="Times New Roman"/>
          <w:b w:val="false"/>
          <w:bCs w:val="false"/>
          <w:i w:val="false"/>
          <w:iCs w:val="false"/>
          <w:sz w:val="26"/>
          <w:szCs w:val="26"/>
        </w:rPr>
        <w:t xml:space="preserve">Những vấn đề về lao động không ghi trong hợp đồng lao động này thì áp dụng quy định của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Hợp đồng lao động được làm thành 02 bản có nội dung và giá trị pháp lý như nhau, mỗi bên giữ một bản và có hiệu lực từ ngày ký. Khi hai bên ký kết phụ lục hợp đồng lao động thì nội dung của phụ lục hợp đồng lao động cũng có giá trị như các nội dung của bản hợp đồng lao động này.</w:t>
      </w:r>
    </w:p>
    <w:p>
      <w:pPr>
        <w:spacing w:after="200"/>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SỬ DỤNG LAO ĐỘNG</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LAO ĐỘNG</w:t>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GIÁM ĐỐC</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(Ký, ghi rõ họ tên)</w:t>
            </w:r>
          </w:p>
        </w:tc>
      </w:tr>
      <w:tr>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Trần Thị Thơm</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2026-07-15T09:58:08.402Z</dcterms:created>
  <dcterms:modified xsi:type="dcterms:W3CDTF">2026-07-15T09:58:08.402Z</dcterms:modified>
</cp:coreProperties>
</file>

<file path=docProps/custom.xml><?xml version="1.0" encoding="utf-8"?>
<Properties xmlns="http://schemas.openxmlformats.org/officeDocument/2006/custom-properties" xmlns:vt="http://schemas.openxmlformats.org/officeDocument/2006/docPropsVTypes"/>
</file>