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tbl>
      <w:tblPr>
        <w:tblStyle w:val="GridTable2Accent1"/>
        <w:tblpPr w:bottomFromText="0" w:horzAnchor="margin" w:leftFromText="180" w:rightFromText="180" w:tblpX="0" w:tblpXSpec="center" w:tblpY="-1347" w:topFromText="0" w:vertAnchor="margin"/>
        <w:tblW w:w="1601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60"/>
        <w:gridCol w:w="3330"/>
        <w:gridCol w:w="1406"/>
        <w:gridCol w:w="1971"/>
        <w:gridCol w:w="240"/>
        <w:gridCol w:w="3056"/>
        <w:gridCol w:w="236"/>
        <w:gridCol w:w="1740"/>
        <w:gridCol w:w="241"/>
        <w:gridCol w:w="1"/>
        <w:gridCol w:w="1432"/>
      </w:tblGrid>
      <w:tr>
        <w:trPr>
          <w:trHeight w:val="32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3330" w:type="dxa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3617" w:type="dxa"/>
            <w:gridSpan w:val="3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3292" w:type="dxa"/>
            <w:gridSpan w:val="2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1982" w:type="dxa"/>
            <w:gridSpan w:val="3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1432" w:type="dxa"/>
            <w:tcBorders>
              <w:top w:val="nil"/>
              <w:bottom w:val="single" w:sz="12" w:space="0" w:color="95B3D7"/>
              <w:insideH w:val="single" w:sz="12" w:space="0" w:color="95B3D7"/>
            </w:tcBorders>
            <w:shd w:color="auto" w:fill="FFFFFF" w:themeFill="background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</w:tr>
      <w:tr>
        <w:trPr>
          <w:trHeight w:val="3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9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rPr>
                <w:rStyle w:val="SubtleEmphasis"/>
                <w:i w:val="false"/>
                <w:i w:val="false"/>
                <w:sz w:val="36"/>
                <w:szCs w:val="36"/>
              </w:rPr>
            </w:pPr>
            <w:r>
              <w:rPr>
                <w:rStyle w:val="SubtleEmphasis"/>
                <w:b/>
                <w:bCs/>
                <w:i w:val="false"/>
                <w:sz w:val="36"/>
                <w:szCs w:val="36"/>
              </w:rPr>
              <w:t>Business Lean Canvas</w:t>
            </w:r>
          </w:p>
        </w:tc>
        <w:tc>
          <w:tcPr>
            <w:tcW w:w="3377" w:type="dxa"/>
            <w:gridSpan w:val="2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  <w:sz w:val="26"/>
                <w:szCs w:val="26"/>
              </w:rPr>
            </w:pPr>
            <w:r>
              <w:rPr>
                <w:rStyle w:val="SubtleEmphasis"/>
                <w:i w:val="false"/>
                <w:sz w:val="26"/>
                <w:szCs w:val="26"/>
              </w:rPr>
              <w:t>Grab Problem</w:t>
            </w:r>
          </w:p>
        </w:tc>
        <w:tc>
          <w:tcPr>
            <w:tcW w:w="24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056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  <w:sz w:val="26"/>
                <w:szCs w:val="26"/>
              </w:rPr>
            </w:pPr>
            <w:r>
              <w:rPr>
                <w:rStyle w:val="SubtleEmphasis"/>
                <w:i w:val="false"/>
                <w:sz w:val="26"/>
                <w:szCs w:val="26"/>
              </w:rPr>
              <w:t xml:space="preserve">Group </w:t>
            </w:r>
            <w:r>
              <w:rPr>
                <w:rStyle w:val="SubtleEmphasis"/>
                <w:b/>
                <w:i w:val="false"/>
                <w:sz w:val="26"/>
                <w:szCs w:val="26"/>
              </w:rPr>
              <w:t>3</w:t>
            </w:r>
          </w:p>
        </w:tc>
        <w:tc>
          <w:tcPr>
            <w:tcW w:w="236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4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  <w:sz w:val="26"/>
                <w:szCs w:val="26"/>
              </w:rPr>
            </w:pPr>
            <w:r>
              <w:rPr>
                <w:rStyle w:val="SubtleEmphasis"/>
                <w:i w:val="false"/>
                <w:sz w:val="26"/>
                <w:szCs w:val="26"/>
              </w:rPr>
              <w:t>12/10/2019</w:t>
            </w:r>
          </w:p>
        </w:tc>
        <w:tc>
          <w:tcPr>
            <w:tcW w:w="241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433" w:type="dxa"/>
            <w:gridSpan w:val="2"/>
            <w:tcBorders>
              <w:left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  <w:sz w:val="26"/>
                <w:szCs w:val="26"/>
              </w:rPr>
            </w:pPr>
            <w:r>
              <w:rPr>
                <w:rStyle w:val="SubtleEmphasis"/>
                <w:b/>
                <w:bCs/>
                <w:i w:val="false"/>
                <w:sz w:val="26"/>
                <w:szCs w:val="26"/>
              </w:rPr>
              <w:t>1</w:t>
            </w:r>
          </w:p>
        </w:tc>
      </w:tr>
      <w:tr>
        <w:trPr>
          <w:trHeight w:val="207" w:hRule="atLeast"/>
        </w:trPr>
        <w:tc>
          <w:tcPr>
            <w:tcW w:w="23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333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617" w:type="dxa"/>
            <w:gridSpan w:val="3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292" w:type="dxa"/>
            <w:gridSpan w:val="2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414" w:type="dxa"/>
            <w:gridSpan w:val="4"/>
            <w:tcBorders>
              <w:left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>
          <w:trHeight w:val="4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Style w:val="SubtleEmphasis"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bCs/>
                <w:i w:val="false"/>
                <w:sz w:val="28"/>
                <w:szCs w:val="28"/>
              </w:rPr>
              <w:t>Problem</w:t>
            </w:r>
          </w:p>
        </w:tc>
        <w:tc>
          <w:tcPr>
            <w:tcW w:w="333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Solution</w:t>
            </w:r>
          </w:p>
        </w:tc>
        <w:tc>
          <w:tcPr>
            <w:tcW w:w="3617" w:type="dxa"/>
            <w:gridSpan w:val="3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Unique Value Proposition</w:t>
            </w:r>
          </w:p>
        </w:tc>
        <w:tc>
          <w:tcPr>
            <w:tcW w:w="3292" w:type="dxa"/>
            <w:gridSpan w:val="2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Unfair Advantage</w:t>
            </w:r>
          </w:p>
        </w:tc>
        <w:tc>
          <w:tcPr>
            <w:tcW w:w="3414" w:type="dxa"/>
            <w:gridSpan w:val="4"/>
            <w:tcBorders>
              <w:left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Customer Segments</w:t>
            </w:r>
          </w:p>
        </w:tc>
      </w:tr>
      <w:tr>
        <w:trPr>
          <w:trHeight w:val="2124" w:hRule="atLeast"/>
        </w:trPr>
        <w:tc>
          <w:tcPr>
            <w:tcW w:w="23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rPr>
                <w:rStyle w:val="SubtleEmphasis"/>
                <w:b/>
                <w:b/>
                <w:bCs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Normal"/>
              <w:rPr>
                <w:rStyle w:val="SubtleEmphasis"/>
                <w:b w:val="false"/>
                <w:b w:val="false"/>
                <w:i w:val="false"/>
                <w:i w:val="false"/>
              </w:rPr>
            </w:pPr>
            <w:r>
              <w:rPr>
                <w:rStyle w:val="SubtleEmphasis"/>
                <w:b w:val="false"/>
                <w:bCs w:val="false"/>
                <w:i w:val="false"/>
              </w:rPr>
              <w:t>- Nhiều người sử dụng Grab để di chuyển và có mong muốn thanh toán chi phí vào cuối tháng.</w:t>
            </w:r>
          </w:p>
          <w:p>
            <w:pPr>
              <w:pStyle w:val="Normal"/>
              <w:rPr>
                <w:rStyle w:val="SubtleEmphasis"/>
                <w:b w:val="false"/>
                <w:b w:val="false"/>
                <w:bCs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Normal"/>
              <w:rPr>
                <w:rStyle w:val="SubtleEmphasis"/>
                <w:b w:val="false"/>
                <w:b w:val="false"/>
                <w:i w:val="false"/>
                <w:i w:val="false"/>
              </w:rPr>
            </w:pPr>
            <w:r>
              <w:rPr>
                <w:rStyle w:val="SubtleEmphasis"/>
                <w:b w:val="false"/>
                <w:bCs w:val="false"/>
                <w:i w:val="false"/>
              </w:rPr>
              <w:t>- Những shop lẻ bán hàng có nhu cầu giao hàng và trả tiền vào cuối tháng.</w:t>
            </w:r>
          </w:p>
          <w:p>
            <w:pPr>
              <w:pStyle w:val="Normal"/>
              <w:rPr>
                <w:rStyle w:val="SubtleEmphasis"/>
                <w:b w:val="false"/>
                <w:b w:val="false"/>
                <w:bCs w:val="false"/>
              </w:rPr>
            </w:pPr>
            <w:r>
              <w:rPr>
                <w:i w:val="false"/>
              </w:rPr>
            </w:r>
          </w:p>
        </w:tc>
        <w:tc>
          <w:tcPr>
            <w:tcW w:w="333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Tạo ra các gói trả sau cho dịch vụ di chuyển và giao hàng.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Khách hàng có thể lựa chọn các gói trả sau the</w:t>
            </w:r>
            <w:bookmarkStart w:id="0" w:name="_GoBack"/>
            <w:bookmarkEnd w:id="0"/>
            <w:r>
              <w:rPr>
                <w:rStyle w:val="SubtleEmphasis"/>
                <w:i w:val="false"/>
              </w:rPr>
              <w:t>o tuần hoặc theo tháng.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617" w:type="dxa"/>
            <w:gridSpan w:val="3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Giúp người dùng dễ dàng thống kê chi tiết lịch trình các chuyến đi trong một tháng.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Tiết kiệm chi phí.</w:t>
            </w:r>
          </w:p>
        </w:tc>
        <w:tc>
          <w:tcPr>
            <w:tcW w:w="3292" w:type="dxa"/>
            <w:gridSpan w:val="2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Gói trả sau sẽ rẻ hơn những chuyến di chuyển đơn lẻ và các đối thủ cạnh tranh.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Ưu đãi khuyến mãi, liên kết với các đối tác độc quyền, tặng voucher cho khách hàng khi đăng kí sử dụng gói dịch vụ.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 xml:space="preserve"> </w:t>
            </w:r>
          </w:p>
        </w:tc>
        <w:tc>
          <w:tcPr>
            <w:tcW w:w="3414" w:type="dxa"/>
            <w:gridSpan w:val="4"/>
            <w:tcBorders>
              <w:left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Người dùng có mức lương trung bình khá.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Nhân viên văn phòng được công ty chi trả phí di chuyển.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Các shop và công ty có nhu cầu sử dụng dịch vụ giao hàng.</w:t>
            </w:r>
          </w:p>
        </w:tc>
      </w:tr>
      <w:tr>
        <w:trPr>
          <w:trHeight w:val="4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333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Key Metrics</w:t>
            </w:r>
          </w:p>
        </w:tc>
        <w:tc>
          <w:tcPr>
            <w:tcW w:w="3617" w:type="dxa"/>
            <w:gridSpan w:val="3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3292" w:type="dxa"/>
            <w:gridSpan w:val="2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Channels</w:t>
            </w:r>
          </w:p>
        </w:tc>
        <w:tc>
          <w:tcPr>
            <w:tcW w:w="3414" w:type="dxa"/>
            <w:gridSpan w:val="4"/>
            <w:tcBorders>
              <w:left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>
          <w:trHeight w:val="2238" w:hRule="atLeast"/>
        </w:trPr>
        <w:tc>
          <w:tcPr>
            <w:tcW w:w="23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rPr>
                <w:rStyle w:val="SubtleEmphasis"/>
                <w:b/>
                <w:b/>
                <w:bCs/>
              </w:rPr>
            </w:pPr>
            <w:r>
              <w:rPr>
                <w:i w:val="false"/>
              </w:rPr>
            </w:r>
          </w:p>
        </w:tc>
        <w:tc>
          <w:tcPr>
            <w:tcW w:w="3330" w:type="dxa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Số lượng người dùng đăng ký mua gói trả sau.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Tiết kiệm khoảng 10% so với không sử dụng gói trả sau (đối với một người dùng trung bình sử dụng Grab khoảng 60 cuốc/tháng)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617" w:type="dxa"/>
            <w:gridSpan w:val="3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3292" w:type="dxa"/>
            <w:gridSpan w:val="2"/>
            <w:tcBorders>
              <w:left w:val="single" w:sz="2" w:space="0" w:color="95B3D7"/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Digital Marketing, social media (Facebook, Youtube, Instagram, Google,..)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Traditional Marketing</w:t>
            </w:r>
          </w:p>
        </w:tc>
        <w:tc>
          <w:tcPr>
            <w:tcW w:w="3414" w:type="dxa"/>
            <w:gridSpan w:val="4"/>
            <w:tcBorders>
              <w:left w:val="single" w:sz="2" w:space="0" w:color="95B3D7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  <w:tr>
        <w:trPr>
          <w:trHeight w:val="4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Style w:val="SubtleEmphasis"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bCs/>
                <w:i w:val="false"/>
                <w:sz w:val="28"/>
                <w:szCs w:val="28"/>
              </w:rPr>
              <w:t>Cost Structure</w:t>
            </w:r>
          </w:p>
        </w:tc>
        <w:tc>
          <w:tcPr>
            <w:tcW w:w="8917" w:type="dxa"/>
            <w:gridSpan w:val="8"/>
            <w:tcBorders>
              <w:left w:val="single" w:sz="2" w:space="0" w:color="95B3D7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rStyle w:val="SubtleEmphasis"/>
                <w:b/>
                <w:i w:val="false"/>
                <w:sz w:val="28"/>
                <w:szCs w:val="28"/>
              </w:rPr>
              <w:t>Revenue Structure</w:t>
            </w:r>
          </w:p>
        </w:tc>
      </w:tr>
      <w:tr>
        <w:trPr>
          <w:trHeight w:val="2115" w:hRule="atLeast"/>
        </w:trPr>
        <w:tc>
          <w:tcPr>
            <w:tcW w:w="70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5B3D7"/>
              <w:insideV w:val="single" w:sz="2" w:space="0" w:color="95B3D7"/>
            </w:tcBorders>
            <w:shd w:fill="auto" w:val="clear"/>
          </w:tcPr>
          <w:p>
            <w:pPr>
              <w:pStyle w:val="NoSpacing"/>
              <w:rPr>
                <w:rStyle w:val="SubtleEmphasis"/>
                <w:b/>
                <w:b/>
                <w:bCs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NoSpacing"/>
              <w:rPr>
                <w:rStyle w:val="SubtleEmphasis"/>
                <w:b w:val="false"/>
                <w:b w:val="false"/>
                <w:i w:val="false"/>
                <w:i w:val="false"/>
              </w:rPr>
            </w:pPr>
            <w:r>
              <w:rPr>
                <w:rStyle w:val="SubtleEmphasis"/>
                <w:b w:val="false"/>
                <w:bCs w:val="false"/>
                <w:i w:val="false"/>
              </w:rPr>
              <w:t>- Chi phí quảng cáo</w:t>
            </w:r>
          </w:p>
          <w:p>
            <w:pPr>
              <w:pStyle w:val="NoSpacing"/>
              <w:rPr>
                <w:rStyle w:val="SubtleEmphasis"/>
                <w:b w:val="false"/>
                <w:b w:val="false"/>
                <w:bCs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NoSpacing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b w:val="false"/>
                <w:bCs w:val="false"/>
                <w:i w:val="false"/>
              </w:rPr>
              <w:t>- Chi phí cho team phát triển tính năng.</w:t>
            </w:r>
          </w:p>
        </w:tc>
        <w:tc>
          <w:tcPr>
            <w:tcW w:w="8917" w:type="dxa"/>
            <w:gridSpan w:val="8"/>
            <w:tcBorders>
              <w:left w:val="single" w:sz="2" w:space="0" w:color="95B3D7"/>
            </w:tcBorders>
            <w:shd w:fill="auto" w:val="clear"/>
          </w:tcPr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Khách hàng sử dụng gói dịch vụ</w:t>
            </w:r>
          </w:p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false"/>
                <w:i w:val="false"/>
              </w:rPr>
            </w:pPr>
            <w:r>
              <w:rPr>
                <w:rStyle w:val="SubtleEmphasis"/>
                <w:i w:val="false"/>
              </w:rPr>
              <w:t>- Đối tác liên kết (hoa hồng cho các dịch vụ ưu đãi từ đối tác cho khách hàng thông qua Grab)</w:t>
            </w:r>
          </w:p>
        </w:tc>
      </w:tr>
    </w:tbl>
    <w:p>
      <w:pPr>
        <w:pStyle w:val="Normal"/>
        <w:rPr>
          <w:rStyle w:val="SubtleEmphasis"/>
          <w:i w:val="false"/>
          <w:i w:val="false"/>
        </w:rPr>
      </w:pPr>
      <w:r>
        <w:rPr>
          <w:i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20" w:h="11906"/>
      <w:pgMar w:left="663" w:right="692" w:header="0" w:top="567" w:footer="0" w:bottom="567" w:gutter="0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4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0413"/>
    <w:rPr/>
  </w:style>
  <w:style w:type="character" w:styleId="SubtleEmphasis">
    <w:name w:val="Subtle Emphasis"/>
    <w:basedOn w:val="DefaultParagraphFont"/>
    <w:uiPriority w:val="19"/>
    <w:qFormat/>
    <w:rsid w:val="00734e6e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83484d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3232a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1">
    <w:name w:val="Grid Table 2 Accent 1"/>
    <w:basedOn w:val="TableNormal"/>
    <w:uiPriority w:val="47"/>
    <w:rsid w:val="00063950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fb45a5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2112-C55A-46B0-AF83-4177ECED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291</Words>
  <Characters>1120</Characters>
  <CharactersWithSpaces>1379</CharactersWithSpaces>
  <Paragraphs>34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2019-10-12T12:32:00Z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Free Template Word doc docx</cp:keywords>
  <dc:language>en-US</dc:language>
  <cp:lastModifiedBy/>
  <cp:lastPrinted>2019-05-23T09:25:00Z</cp:lastPrinted>
  <dcterms:modified xsi:type="dcterms:W3CDTF">2019-10-14T08:55:46Z</dcterms:modified>
  <cp:revision>6</cp:revision>
  <dc:subject/>
  <dc:title>Lean Canvas Template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Neos Chronos Limited</vt:lpwstr>
  </property>
  <property fmtid="{D5CDD505-2E9C-101B-9397-08002B2CF9AE}" pid="4" name="DocSecurity">
    <vt:i4>0</vt:i4>
  </property>
  <property fmtid="{D5CDD505-2E9C-101B-9397-08002B2CF9AE}" pid="5" name="HyperlinkBase">
    <vt:lpwstr>https://neoschronos.com/assets/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ublisher">
    <vt:lpwstr>Neos Chronos</vt:lpwstr>
  </property>
  <property fmtid="{D5CDD505-2E9C-101B-9397-08002B2CF9AE}" pid="9" name="Purpose">
    <vt:lpwstr>Leanl Canvas Word Template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category">
    <vt:lpwstr>Word Template DOC</vt:lpwstr>
  </property>
</Properties>
</file>