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Style w:val="Title"/>
      </w:pPr>
      <w:r>
        <w:t xml:space="preserve">Connecting Classroom Copier to Live Google Accounts</w:t>
      </w:r>
    </w:p>
    <w:p>
      <w:pPr>
        <w:pStyle w:val="Subtitle"/>
      </w:pPr>
      <w:r>
        <w:t xml:space="preserve">Replacing the practice environment with real Classroom and Drive access</w:t>
      </w:r>
    </w:p>
    <w:p>
      <w:pPr>
        <w:pBdr>
          <w:bottom w:val="single" w:color="0F5C57" w:sz="8" w:space="4"/>
        </w:pBdr>
        <w:spacing w:after="240"/>
      </w:pPr>
      <w:r>
        <w:rPr>
          <w:sz w:val="2"/>
          <w:szCs w:val="2"/>
        </w:rPr>
        <w:t xml:space="preserve"/>
      </w:r>
    </w:p>
    <w:p>
      <w:pPr>
        <w:spacing w:after="60"/>
      </w:pPr>
      <w:r>
        <w:rPr>
          <w:color w:val="5A5A5A"/>
          <w:sz w:val="20"/>
          <w:szCs w:val="20"/>
        </w:rPr>
        <w:t xml:space="preserve">For a developer taking over this project</w:t>
      </w:r>
    </w:p>
    <w:p>
      <w:pPr>
        <w:spacing w:after="60"/>
      </w:pPr>
      <w:r>
        <w:rPr>
          <w:color w:val="5A5A5A"/>
          <w:sz w:val="20"/>
          <w:szCs w:val="20"/>
        </w:rPr>
        <w:t xml:space="preserve">Assumes you can run commands in a terminal and edit TypeScript files.</w:t>
      </w:r>
    </w:p>
    <w:p>
      <w:pPr>
        <w:spacing w:after="60"/>
      </w:pPr>
      <w:r>
        <w:rPr>
          <w:color w:val="5A5A5A"/>
          <w:sz w:val="20"/>
          <w:szCs w:val="20"/>
        </w:rPr>
        <w:t xml:space="preserve">Assumes no prior knowledge of this codebase or of the Google APIs.</w:t>
      </w:r>
    </w:p>
    <w:p>
      <w:pPr>
        <w:spacing w:after="60"/>
      </w:pPr>
      <w:r>
        <w:rPr>
          <w:color w:val="5A5A5A"/>
          <w:sz w:val="20"/>
          <w:szCs w:val="20"/>
        </w:rPr>
        <w:t xml:space="preserve">Document date: 14 August 2026</w:t>
      </w:r>
    </w:p>
    <w:p>
      <w:r>
        <w:br w:type="page"/>
      </w:r>
    </w:p>
    <w:p>
      <w:pPr>
        <w:pStyle w:val="Heading1"/>
      </w:pPr>
      <w:r>
        <w:t xml:space="preserve">What you are being handed</w:t>
      </w:r>
    </w:p>
    <w:p>
      <w:pPr>
        <w:spacing w:after="140" w:line="276"/>
      </w:pPr>
      <w:r>
        <w:t xml:space="preserve">Classroom Copier is finished and tested, with one deliberate hole in it: it has never spoken to Google.</w:t>
      </w:r>
    </w:p>
    <w:p>
      <w:pPr>
        <w:spacing w:after="140" w:line="276"/>
      </w:pPr>
      <w:r>
        <w:t xml:space="preserve">Everything the app does — reading courses, scanning attachments, creating topics, writing drafts, handling rate limits, recovering from a crash mid-transfer — runs today against a built-in fake called the mock provider. The mock is seeded with fourteen sample scenarios and 365 automated tests run against it.</w:t>
      </w:r>
    </w:p>
    <w:p>
      <w:pPr>
        <w:spacing w:after="140" w:line="276"/>
      </w:pPr>
      <w:r>
        <w:t xml:space="preserve">Your job is to write a second implementation that talks to the real Google APIs, and switch a single line to use it. You are not rewriting the app. You are filling in one clearly marked socket.</w:t>
      </w:r>
    </w:p>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Why it was built this way</w:t>
            </w:r>
          </w:p>
          <w:p>
            <w:pPr>
              <w:spacing w:after="40"/>
            </w:pPr>
            <w:r>
              <w:rPr>
                <w:sz w:val="20"/>
                <w:szCs w:val="20"/>
              </w:rPr>
              <w:t xml:space="preserve">The team that built this could not get Google credentials, so rather than guess and half-build the integration, they made the boundary explicit and built everything on the near side of it. The interface you are about to implement was deliberately shaped to match the real Google API — separate calls for coursework and materials, pagination from the start, explicit state filters — rather than shaped to whatever was convenient for the fake.</w:t>
            </w:r>
          </w:p>
        </w:tc>
      </w:tr>
    </w:tbl>
    <w:p>
      <w:pPr>
        <w:pStyle w:val="Heading2"/>
      </w:pPr>
      <w:r>
        <w:t xml:space="preserve">The one seam</w:t>
      </w:r>
    </w:p>
    <w:p>
      <w:pPr>
        <w:spacing w:after="140" w:line="276"/>
      </w:pPr>
      <w:r>
        <w:t xml:space="preserve">There is exactly one file describing what the app needs from Google: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server/src/adapters/classroom-provider.interface.ts</w:t>
      </w:r>
    </w:p>
    <w:p>
      <w:pPr>
        <w:spacing w:after="140" w:line="276"/>
      </w:pPr>
      <w:r>
        <w:t xml:space="preserve">It defines a TypeScript interface called ClassroomProvider with sixteen methods. It contains no runnable code at all — only type declarations — which is a deliberate trick: because the file compiles to nothing, no other part of the app can accidentally import a concrete implementation through it.</w:t>
      </w:r>
    </w:p>
    <w:p>
      <w:pPr>
        <w:spacing w:after="140" w:line="276"/>
      </w:pPr>
      <w:r>
        <w:t xml:space="preserve">Two things implement that interface. Today there is one:</w:t>
      </w:r>
    </w:p>
    <w:tbl>
      <w:tblPr>
        <w:tblW w:type="dxa" w:w="10080"/>
        <w:tblBorders>
          <w:top w:val="single" w:color="C9C4B8" w:sz="2"/>
          <w:left w:val="none" w:sz="0"/>
          <w:bottom w:val="single" w:color="C9C4B8" w:sz="2"/>
          <w:right w:val="none" w:sz="0"/>
          <w:insideH w:val="single" w:color="C9C4B8" w:sz="1"/>
          <w:insideV w:val="none" w:sz="0"/>
        </w:tblBorders>
      </w:tblPr>
      <w:tblGrid>
        <w:gridCol w:w="5040"/>
        <w:gridCol w:w="5040"/>
      </w:tblGrid>
      <w:tr>
        <w:trPr>
          <w:tblHeader/>
        </w:trPr>
        <w:tc>
          <w:tcPr>
            <w:tcW w:type="dxa" w:w="5040"/>
            <w:shd w:fill="F4F1E9" w:val="clear"/>
            <w:tcMar>
              <w:top w:type="dxa" w:w="90"/>
              <w:left w:type="dxa" w:w="120"/>
              <w:bottom w:type="dxa" w:w="90"/>
              <w:right w:type="dxa" w:w="120"/>
            </w:tcMar>
          </w:tcPr>
          <w:p>
            <w:r>
              <w:rPr>
                <w:b/>
                <w:bCs/>
                <w:sz w:val="19"/>
                <w:szCs w:val="19"/>
              </w:rPr>
              <w:t xml:space="preserve">File</w:t>
            </w:r>
          </w:p>
        </w:tc>
        <w:tc>
          <w:tcPr>
            <w:tcW w:type="dxa" w:w="5040"/>
            <w:shd w:fill="F4F1E9" w:val="clear"/>
            <w:tcMar>
              <w:top w:type="dxa" w:w="90"/>
              <w:left w:type="dxa" w:w="120"/>
              <w:bottom w:type="dxa" w:w="90"/>
              <w:right w:type="dxa" w:w="120"/>
            </w:tcMar>
          </w:tcPr>
          <w:p>
            <w:r>
              <w:rPr>
                <w:b/>
                <w:bCs/>
                <w:sz w:val="19"/>
                <w:szCs w:val="19"/>
              </w:rPr>
              <w:t xml:space="preserve">What it is</w:t>
            </w:r>
          </w:p>
        </w:tc>
      </w:tr>
      <w:tr>
        <w:tc>
          <w:tcPr>
            <w:tcW w:type="dxa" w:w="5040"/>
            <w:tcMar>
              <w:top w:type="dxa" w:w="90"/>
              <w:left w:type="dxa" w:w="120"/>
              <w:bottom w:type="dxa" w:w="90"/>
              <w:right w:type="dxa" w:w="120"/>
            </w:tcMar>
          </w:tcPr>
          <w:p>
            <w:r>
              <w:rPr>
                <w:sz w:val="19"/>
                <w:szCs w:val="19"/>
              </w:rPr>
              <w:t xml:space="preserve">server/src/adapters/mock/mock-classroom-provider.ts</w:t>
            </w:r>
          </w:p>
        </w:tc>
        <w:tc>
          <w:tcPr>
            <w:tcW w:type="dxa" w:w="5040"/>
            <w:tcMar>
              <w:top w:type="dxa" w:w="90"/>
              <w:left w:type="dxa" w:w="120"/>
              <w:bottom w:type="dxa" w:w="90"/>
              <w:right w:type="dxa" w:w="120"/>
            </w:tcMar>
          </w:tcPr>
          <w:p>
            <w:r>
              <w:rPr>
                <w:sz w:val="19"/>
                <w:szCs w:val="19"/>
              </w:rPr>
              <w:t xml:space="preserve">The fake. Reads and writes sample data in the local database. Exists today.</w:t>
            </w:r>
          </w:p>
        </w:tc>
      </w:tr>
      <w:tr>
        <w:tc>
          <w:tcPr>
            <w:tcW w:type="dxa" w:w="5040"/>
            <w:tcMar>
              <w:top w:type="dxa" w:w="90"/>
              <w:left w:type="dxa" w:w="120"/>
              <w:bottom w:type="dxa" w:w="90"/>
              <w:right w:type="dxa" w:w="120"/>
            </w:tcMar>
          </w:tcPr>
          <w:p>
            <w:r>
              <w:rPr>
                <w:sz w:val="19"/>
                <w:szCs w:val="19"/>
              </w:rPr>
              <w:t xml:space="preserve">server/src/adapters/google/real-classroom-provider.ts</w:t>
            </w:r>
          </w:p>
        </w:tc>
        <w:tc>
          <w:tcPr>
            <w:tcW w:type="dxa" w:w="5040"/>
            <w:tcMar>
              <w:top w:type="dxa" w:w="90"/>
              <w:left w:type="dxa" w:w="120"/>
              <w:bottom w:type="dxa" w:w="90"/>
              <w:right w:type="dxa" w:w="120"/>
            </w:tcMar>
          </w:tcPr>
          <w:p>
            <w:r>
              <w:rPr>
                <w:sz w:val="19"/>
                <w:szCs w:val="19"/>
              </w:rPr>
              <w:t xml:space="preserve">The real thing. Calls Google. You are going to write this.</w:t>
            </w:r>
          </w:p>
        </w:tc>
      </w:tr>
    </w:tbl>
    <w:p>
      <w:pPr>
        <w:spacing w:after="140" w:line="276"/>
      </w:pPr>
      <w:r>
        <w:t xml:space="preserve">And one file chooses between them:</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server/src/app.ts   —  around line 50</w:t>
      </w:r>
    </w:p>
    <w:p>
      <w:r>
        <w:br w:type="page"/>
      </w:r>
    </w:p>
    <w:p>
      <w:pPr>
        <w:pStyle w:val="Heading1"/>
      </w:pPr>
      <w:r>
        <w:t xml:space="preserve">The work, in order</w:t>
      </w:r>
    </w:p>
    <w:p>
      <w:pPr>
        <w:spacing w:after="140" w:line="276"/>
      </w:pPr>
      <w:r>
        <w:t xml:space="preserve">Roughly: half a day of Google Cloud console clicking, then the real coding.</w:t>
      </w:r>
    </w:p>
    <w:p>
      <w:pPr>
        <w:pStyle w:val="Heading2"/>
      </w:pPr>
      <w:r>
        <w:t xml:space="preserve">Part 1 — Get credentials from Google</w:t>
      </w:r>
    </w:p>
    <w:p>
      <w:pPr>
        <w:spacing w:after="140" w:line="276"/>
      </w:pPr>
      <w:r>
        <w:t xml:space="preserve">None of this can be automated. It needs a human with a Google account.</w:t>
      </w:r>
    </w:p>
    <w:p>
      <w:pPr>
        <w:pStyle w:val="ListParagraph"/>
        <w:numPr>
          <w:ilvl w:val="0"/>
          <w:numId w:val="2"/>
        </w:numPr>
        <w:spacing w:after="90" w:line="276"/>
      </w:pPr>
      <w:r>
        <w:t xml:space="preserve">Go to console.cloud.google.com and create a project. Call it something like "Classroom-Copier-Production".</w:t>
      </w:r>
    </w:p>
    <w:p>
      <w:pPr>
        <w:pStyle w:val="ListParagraph"/>
        <w:numPr>
          <w:ilvl w:val="0"/>
          <w:numId w:val="2"/>
        </w:numPr>
        <w:spacing w:after="90" w:line="276"/>
      </w:pPr>
      <w:r>
        <w:t xml:space="preserve">Under APIs &amp; Services → Library, enable two APIs: Google Classroom API and Google Drive API.</w:t>
      </w:r>
    </w:p>
    <w:p>
      <w:pPr>
        <w:pStyle w:val="ListParagraph"/>
        <w:numPr>
          <w:ilvl w:val="0"/>
          <w:numId w:val="2"/>
        </w:numPr>
        <w:spacing w:after="90" w:line="276"/>
      </w:pPr>
      <w:r>
        <w:t xml:space="preserve">Under APIs &amp; Services → OAuth consent screen, choose External if teachers outside your domain will use it, or Internal if it is only ever your school. Fill in the app name and a support email.</w:t>
      </w:r>
    </w:p>
    <w:p>
      <w:pPr>
        <w:pStyle w:val="ListParagraph"/>
        <w:numPr>
          <w:ilvl w:val="0"/>
          <w:numId w:val="2"/>
        </w:numPr>
        <w:spacing w:after="90" w:line="276"/>
      </w:pPr>
      <w:r>
        <w:t xml:space="preserve">Add the scopes listed in the table below. This is the part people get wrong, so read the notes.</w:t>
      </w:r>
    </w:p>
    <w:p>
      <w:pPr>
        <w:pStyle w:val="ListParagraph"/>
        <w:numPr>
          <w:ilvl w:val="0"/>
          <w:numId w:val="2"/>
        </w:numPr>
        <w:spacing w:after="90" w:line="276"/>
      </w:pPr>
      <w:r>
        <w:t xml:space="preserve">While the app is in Testing status, add every tester’s Google address under Test users. Nobody else can sign in until you publish.</w:t>
      </w:r>
    </w:p>
    <w:p>
      <w:pPr>
        <w:pStyle w:val="ListParagraph"/>
        <w:numPr>
          <w:ilvl w:val="0"/>
          <w:numId w:val="2"/>
        </w:numPr>
        <w:spacing w:after="90" w:line="276"/>
      </w:pPr>
      <w:r>
        <w:t xml:space="preserve">Under Credentials, create an OAuth client ID of type Web application. Add your authorised origins and redirect URIs. Save the Client ID and Client Secret somewhere safe — you will paste them into environment variables shortly.</w:t>
      </w:r>
    </w:p>
    <w:p>
      <w:pPr>
        <w:pStyle w:val="Heading3"/>
      </w:pPr>
      <w:r>
        <w:t xml:space="preserve">The scopes you actually need</w:t>
      </w:r>
    </w:p>
    <w:p>
      <w:pPr>
        <w:spacing w:after="140" w:line="276"/>
      </w:pPr>
      <w:r>
        <w:t xml:space="preserve">The original product requirements listed four scopes. Two of them are wrong or incomplete, which the team discovered during design. Use this list:</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Scope</w:t>
            </w:r>
          </w:p>
        </w:tc>
        <w:tc>
          <w:tcPr>
            <w:tcW w:type="dxa" w:w="6680"/>
            <w:shd w:fill="F4F1E9" w:val="clear"/>
            <w:tcMar>
              <w:top w:type="dxa" w:w="90"/>
              <w:left w:type="dxa" w:w="120"/>
              <w:bottom w:type="dxa" w:w="90"/>
              <w:right w:type="dxa" w:w="120"/>
            </w:tcMar>
          </w:tcPr>
          <w:p>
            <w:r>
              <w:rPr>
                <w:b/>
                <w:bCs/>
                <w:sz w:val="19"/>
                <w:szCs w:val="19"/>
              </w:rPr>
              <w:t xml:space="preserve">What it is for</w:t>
            </w:r>
          </w:p>
        </w:tc>
      </w:tr>
      <w:tr>
        <w:tc>
          <w:tcPr>
            <w:tcW w:type="dxa" w:w="3400"/>
            <w:tcMar>
              <w:top w:type="dxa" w:w="90"/>
              <w:left w:type="dxa" w:w="120"/>
              <w:bottom w:type="dxa" w:w="90"/>
              <w:right w:type="dxa" w:w="120"/>
            </w:tcMar>
          </w:tcPr>
          <w:p>
            <w:r>
              <w:rPr>
                <w:sz w:val="19"/>
                <w:szCs w:val="19"/>
              </w:rPr>
              <w:t xml:space="preserve">classroom.courses.readonly</w:t>
            </w:r>
          </w:p>
        </w:tc>
        <w:tc>
          <w:tcPr>
            <w:tcW w:type="dxa" w:w="6680"/>
            <w:tcMar>
              <w:top w:type="dxa" w:w="90"/>
              <w:left w:type="dxa" w:w="120"/>
              <w:bottom w:type="dxa" w:w="90"/>
              <w:right w:type="dxa" w:w="120"/>
            </w:tcMar>
          </w:tcPr>
          <w:p>
            <w:r>
              <w:rPr>
                <w:sz w:val="19"/>
                <w:szCs w:val="19"/>
              </w:rPr>
              <w:t xml:space="preserve">Listing the teacher’s courses.</w:t>
            </w:r>
          </w:p>
        </w:tc>
      </w:tr>
      <w:tr>
        <w:tc>
          <w:tcPr>
            <w:tcW w:type="dxa" w:w="3400"/>
            <w:tcMar>
              <w:top w:type="dxa" w:w="90"/>
              <w:left w:type="dxa" w:w="120"/>
              <w:bottom w:type="dxa" w:w="90"/>
              <w:right w:type="dxa" w:w="120"/>
            </w:tcMar>
          </w:tcPr>
          <w:p>
            <w:r>
              <w:rPr>
                <w:sz w:val="19"/>
                <w:szCs w:val="19"/>
              </w:rPr>
              <w:t xml:space="preserve">classroom.coursework.students</w:t>
            </w:r>
          </w:p>
        </w:tc>
        <w:tc>
          <w:tcPr>
            <w:tcW w:type="dxa" w:w="6680"/>
            <w:tcMar>
              <w:top w:type="dxa" w:w="90"/>
              <w:left w:type="dxa" w:w="120"/>
              <w:bottom w:type="dxa" w:w="90"/>
              <w:right w:type="dxa" w:w="120"/>
            </w:tcMar>
          </w:tcPr>
          <w:p>
            <w:r>
              <w:rPr>
                <w:sz w:val="19"/>
                <w:szCs w:val="19"/>
              </w:rPr>
              <w:t xml:space="preserve">Reading and creating assignments, quiz assignments, and questions.</w:t>
            </w:r>
          </w:p>
        </w:tc>
      </w:tr>
      <w:tr>
        <w:tc>
          <w:tcPr>
            <w:tcW w:type="dxa" w:w="3400"/>
            <w:tcMar>
              <w:top w:type="dxa" w:w="90"/>
              <w:left w:type="dxa" w:w="120"/>
              <w:bottom w:type="dxa" w:w="90"/>
              <w:right w:type="dxa" w:w="120"/>
            </w:tcMar>
          </w:tcPr>
          <w:p>
            <w:r>
              <w:rPr>
                <w:sz w:val="19"/>
                <w:szCs w:val="19"/>
              </w:rPr>
              <w:t xml:space="preserve">classroom.courseworkmaterials</w:t>
            </w:r>
          </w:p>
        </w:tc>
        <w:tc>
          <w:tcPr>
            <w:tcW w:type="dxa" w:w="6680"/>
            <w:tcMar>
              <w:top w:type="dxa" w:w="90"/>
              <w:left w:type="dxa" w:w="120"/>
              <w:bottom w:type="dxa" w:w="90"/>
              <w:right w:type="dxa" w:w="120"/>
            </w:tcMar>
          </w:tcPr>
          <w:p>
            <w:r>
              <w:rPr>
                <w:sz w:val="19"/>
                <w:szCs w:val="19"/>
              </w:rPr>
              <w:t xml:space="preserve">Materials. </w:t>
            </w:r>
            <w:r>
              <w:rPr>
                <w:b/>
                <w:bCs/>
                <w:sz w:val="19"/>
                <w:szCs w:val="19"/>
              </w:rPr>
              <w:t xml:space="preserve">Not covered by the coursework scope above</w:t>
            </w:r>
            <w:r>
              <w:rPr>
                <w:sz w:val="19"/>
                <w:szCs w:val="19"/>
              </w:rPr>
              <w:t xml:space="preserve"> — Materials are a separate API surface. Without this, Materials silently fail.</w:t>
            </w:r>
          </w:p>
        </w:tc>
      </w:tr>
      <w:tr>
        <w:tc>
          <w:tcPr>
            <w:tcW w:type="dxa" w:w="3400"/>
            <w:tcMar>
              <w:top w:type="dxa" w:w="90"/>
              <w:left w:type="dxa" w:w="120"/>
              <w:bottom w:type="dxa" w:w="90"/>
              <w:right w:type="dxa" w:w="120"/>
            </w:tcMar>
          </w:tcPr>
          <w:p>
            <w:r>
              <w:rPr>
                <w:sz w:val="19"/>
                <w:szCs w:val="19"/>
              </w:rPr>
              <w:t xml:space="preserve">classroom.topics</w:t>
            </w:r>
          </w:p>
        </w:tc>
        <w:tc>
          <w:tcPr>
            <w:tcW w:type="dxa" w:w="6680"/>
            <w:tcMar>
              <w:top w:type="dxa" w:w="90"/>
              <w:left w:type="dxa" w:w="120"/>
              <w:bottom w:type="dxa" w:w="90"/>
              <w:right w:type="dxa" w:w="120"/>
            </w:tcMar>
          </w:tcPr>
          <w:p>
            <w:r>
              <w:rPr>
                <w:sz w:val="19"/>
                <w:szCs w:val="19"/>
              </w:rPr>
              <w:t xml:space="preserve">Reading and creating the unit headings.</w:t>
            </w:r>
          </w:p>
        </w:tc>
      </w:tr>
      <w:tr>
        <w:tc>
          <w:tcPr>
            <w:tcW w:type="dxa" w:w="3400"/>
            <w:tcMar>
              <w:top w:type="dxa" w:w="90"/>
              <w:left w:type="dxa" w:w="120"/>
              <w:bottom w:type="dxa" w:w="90"/>
              <w:right w:type="dxa" w:w="120"/>
            </w:tcMar>
          </w:tcPr>
          <w:p>
            <w:r>
              <w:rPr>
                <w:sz w:val="19"/>
                <w:szCs w:val="19"/>
              </w:rPr>
              <w:t xml:space="preserve">drive.readonly</w:t>
            </w:r>
          </w:p>
        </w:tc>
        <w:tc>
          <w:tcPr>
            <w:tcW w:type="dxa" w:w="6680"/>
            <w:tcMar>
              <w:top w:type="dxa" w:w="90"/>
              <w:left w:type="dxa" w:w="120"/>
              <w:bottom w:type="dxa" w:w="90"/>
              <w:right w:type="dxa" w:w="120"/>
            </w:tcMar>
          </w:tcPr>
          <w:p>
            <w:r>
              <w:rPr>
                <w:sz w:val="19"/>
                <w:szCs w:val="19"/>
              </w:rPr>
              <w:t xml:space="preserve">Checking whether an attached file still exists and whether the teacher can see it.</w:t>
            </w:r>
          </w:p>
        </w:tc>
      </w:tr>
      <w:tr>
        <w:tc>
          <w:tcPr>
            <w:tcW w:type="dxa" w:w="3400"/>
            <w:tcMar>
              <w:top w:type="dxa" w:w="90"/>
              <w:left w:type="dxa" w:w="120"/>
              <w:bottom w:type="dxa" w:w="90"/>
              <w:right w:type="dxa" w:w="120"/>
            </w:tcMar>
          </w:tcPr>
          <w:p>
            <w:r>
              <w:rPr>
                <w:sz w:val="19"/>
                <w:szCs w:val="19"/>
              </w:rPr>
              <w:t xml:space="preserve">drive.file</w:t>
            </w:r>
          </w:p>
        </w:tc>
        <w:tc>
          <w:tcPr>
            <w:tcW w:type="dxa" w:w="6680"/>
            <w:tcMar>
              <w:top w:type="dxa" w:w="90"/>
              <w:left w:type="dxa" w:w="120"/>
              <w:bottom w:type="dxa" w:w="90"/>
              <w:right w:type="dxa" w:w="120"/>
            </w:tcMar>
          </w:tcPr>
          <w:p>
            <w:r>
              <w:rPr>
                <w:b/>
                <w:bCs/>
                <w:sz w:val="19"/>
                <w:szCs w:val="19"/>
              </w:rPr>
              <w:t xml:space="preserve">Required for the "Copy to My Drive" fix. </w:t>
            </w:r>
            <w:r>
              <w:rPr>
                <w:sz w:val="19"/>
                <w:szCs w:val="19"/>
              </w:rPr>
              <w:t xml:space="preserve">That feature writes a new file, and drive.readonly cannot write. The original requirements missed this.</w:t>
            </w:r>
          </w:p>
        </w:tc>
      </w:tr>
    </w:tbl>
    <w:tbl>
      <w:tblPr>
        <w:tblW w:type="dxa" w:w="10080"/>
        <w:tblBorders>
          <w:top w:val="single" w:color="C9C4B8" w:sz="2"/>
          <w:left w:val="single" w:color="7A5200"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7A5200"/>
                <w:sz w:val="20"/>
                <w:szCs w:val="20"/>
              </w:rPr>
              <w:t xml:space="preserve">drive.readonly is a restricted scope</w:t>
            </w:r>
          </w:p>
          <w:p>
            <w:pPr>
              <w:spacing w:after="40"/>
            </w:pPr>
            <w:r>
              <w:rPr>
                <w:sz w:val="20"/>
                <w:szCs w:val="20"/>
              </w:rPr>
              <w:t xml:space="preserve">Google treats it as sensitive. If you publish the app publicly you will need to pass their verification review, which can take weeks and may require a third-party security assessment. If that becomes a blocker, there is a backlog item suggesting you evaluate drive.metadata.readonly plus drive.file instead — the app only needs to read file metadata, not file contents. Check that against your implementation before committing to the review.</w:t>
            </w:r>
          </w:p>
        </w:tc>
      </w:tr>
    </w:tbl>
    <w:p>
      <w:r>
        <w:br w:type="page"/>
      </w:r>
    </w:p>
    <w:p>
      <w:pPr>
        <w:pStyle w:val="Heading2"/>
      </w:pPr>
      <w:r>
        <w:t xml:space="preserve">Part 2 — Add the environment variables</w:t>
      </w:r>
    </w:p>
    <w:p>
      <w:pPr>
        <w:spacing w:after="140" w:line="276"/>
      </w:pPr>
      <w:r>
        <w:t xml:space="preserve">The app already reads its configuration from one file, which validates everything at startup and refuses to boot if something required is missing:</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server/src/config.ts</w:t>
      </w:r>
    </w:p>
    <w:p>
      <w:pPr>
        <w:spacing w:after="140" w:line="276"/>
      </w:pPr>
      <w:r>
        <w:t xml:space="preserve">These already exist and matter to you:</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Variable</w:t>
            </w:r>
          </w:p>
        </w:tc>
        <w:tc>
          <w:tcPr>
            <w:tcW w:type="dxa" w:w="6680"/>
            <w:shd w:fill="F4F1E9" w:val="clear"/>
            <w:tcMar>
              <w:top w:type="dxa" w:w="90"/>
              <w:left w:type="dxa" w:w="120"/>
              <w:bottom w:type="dxa" w:w="90"/>
              <w:right w:type="dxa" w:w="120"/>
            </w:tcMar>
          </w:tcPr>
          <w:p>
            <w:r>
              <w:rPr>
                <w:b/>
                <w:bCs/>
                <w:sz w:val="19"/>
                <w:szCs w:val="19"/>
              </w:rPr>
              <w:t xml:space="preserve">Current behaviour</w:t>
            </w:r>
          </w:p>
        </w:tc>
      </w:tr>
      <w:tr>
        <w:tc>
          <w:tcPr>
            <w:tcW w:type="dxa" w:w="3400"/>
            <w:tcMar>
              <w:top w:type="dxa" w:w="90"/>
              <w:left w:type="dxa" w:w="120"/>
              <w:bottom w:type="dxa" w:w="90"/>
              <w:right w:type="dxa" w:w="120"/>
            </w:tcMar>
          </w:tcPr>
          <w:p>
            <w:r>
              <w:rPr>
                <w:sz w:val="19"/>
                <w:szCs w:val="19"/>
              </w:rPr>
              <w:t xml:space="preserve">GOOGLE_PROVIDER_MODE</w:t>
            </w:r>
          </w:p>
        </w:tc>
        <w:tc>
          <w:tcPr>
            <w:tcW w:type="dxa" w:w="6680"/>
            <w:tcMar>
              <w:top w:type="dxa" w:w="90"/>
              <w:left w:type="dxa" w:w="120"/>
              <w:bottom w:type="dxa" w:w="90"/>
              <w:right w:type="dxa" w:w="120"/>
            </w:tcMar>
          </w:tcPr>
          <w:p>
            <w:r>
              <w:rPr>
                <w:sz w:val="19"/>
                <w:szCs w:val="19"/>
              </w:rPr>
              <w:t xml:space="preserve">Currently accepts only the value "mock". You will widen this to accept "google" as the switch between implementations.</w:t>
            </w:r>
          </w:p>
        </w:tc>
      </w:tr>
      <w:tr>
        <w:tc>
          <w:tcPr>
            <w:tcW w:type="dxa" w:w="3400"/>
            <w:tcMar>
              <w:top w:type="dxa" w:w="90"/>
              <w:left w:type="dxa" w:w="120"/>
              <w:bottom w:type="dxa" w:w="90"/>
              <w:right w:type="dxa" w:w="120"/>
            </w:tcMar>
          </w:tcPr>
          <w:p>
            <w:r>
              <w:rPr>
                <w:sz w:val="19"/>
                <w:szCs w:val="19"/>
              </w:rPr>
              <w:t xml:space="preserve">SESSION_SECRET</w:t>
            </w:r>
          </w:p>
        </w:tc>
        <w:tc>
          <w:tcPr>
            <w:tcW w:type="dxa" w:w="6680"/>
            <w:tcMar>
              <w:top w:type="dxa" w:w="90"/>
              <w:left w:type="dxa" w:w="120"/>
              <w:bottom w:type="dxa" w:w="90"/>
              <w:right w:type="dxa" w:w="120"/>
            </w:tcMar>
          </w:tcPr>
          <w:p>
            <w:r>
              <w:rPr>
                <w:sz w:val="19"/>
                <w:szCs w:val="19"/>
              </w:rPr>
              <w:t xml:space="preserve">Required. The server refuses to start without it, on purpose — a development default that ships is a classic security bug.</w:t>
            </w:r>
          </w:p>
        </w:tc>
      </w:tr>
      <w:tr>
        <w:tc>
          <w:tcPr>
            <w:tcW w:type="dxa" w:w="3400"/>
            <w:tcMar>
              <w:top w:type="dxa" w:w="90"/>
              <w:left w:type="dxa" w:w="120"/>
              <w:bottom w:type="dxa" w:w="90"/>
              <w:right w:type="dxa" w:w="120"/>
            </w:tcMar>
          </w:tcPr>
          <w:p>
            <w:r>
              <w:rPr>
                <w:sz w:val="19"/>
                <w:szCs w:val="19"/>
              </w:rPr>
              <w:t xml:space="preserve">SEED_ON_BOOT</w:t>
            </w:r>
          </w:p>
        </w:tc>
        <w:tc>
          <w:tcPr>
            <w:tcW w:type="dxa" w:w="6680"/>
            <w:tcMar>
              <w:top w:type="dxa" w:w="90"/>
              <w:left w:type="dxa" w:w="120"/>
              <w:bottom w:type="dxa" w:w="90"/>
              <w:right w:type="dxa" w:w="120"/>
            </w:tcMar>
          </w:tcPr>
          <w:p>
            <w:r>
              <w:rPr>
                <w:sz w:val="19"/>
                <w:szCs w:val="19"/>
              </w:rPr>
              <w:t xml:space="preserve">Loads the sample courses. Defaults to on in development, off in production. Turn it off once you are live.</w:t>
            </w:r>
          </w:p>
        </w:tc>
      </w:tr>
      <w:tr>
        <w:tc>
          <w:tcPr>
            <w:tcW w:type="dxa" w:w="3400"/>
            <w:tcMar>
              <w:top w:type="dxa" w:w="90"/>
              <w:left w:type="dxa" w:w="120"/>
              <w:bottom w:type="dxa" w:w="90"/>
              <w:right w:type="dxa" w:w="120"/>
            </w:tcMar>
          </w:tcPr>
          <w:p>
            <w:r>
              <w:rPr>
                <w:sz w:val="19"/>
                <w:szCs w:val="19"/>
              </w:rPr>
              <w:t xml:space="preserve">PRUNE_GENERATED_ON_BOOT</w:t>
            </w:r>
          </w:p>
        </w:tc>
        <w:tc>
          <w:tcPr>
            <w:tcW w:type="dxa" w:w="6680"/>
            <w:tcMar>
              <w:top w:type="dxa" w:w="90"/>
              <w:left w:type="dxa" w:w="120"/>
              <w:bottom w:type="dxa" w:w="90"/>
              <w:right w:type="dxa" w:w="120"/>
            </w:tcMar>
          </w:tcPr>
          <w:p>
            <w:r>
              <w:rPr>
                <w:sz w:val="19"/>
                <w:szCs w:val="19"/>
              </w:rPr>
              <w:t xml:space="preserve">Deletes posts that previous test transfers created. Also off in production.</w:t>
            </w:r>
          </w:p>
        </w:tc>
      </w:tr>
      <w:tr>
        <w:tc>
          <w:tcPr>
            <w:tcW w:type="dxa" w:w="3400"/>
            <w:tcMar>
              <w:top w:type="dxa" w:w="90"/>
              <w:left w:type="dxa" w:w="120"/>
              <w:bottom w:type="dxa" w:w="90"/>
              <w:right w:type="dxa" w:w="120"/>
            </w:tcMar>
          </w:tcPr>
          <w:p>
            <w:r>
              <w:rPr>
                <w:sz w:val="19"/>
                <w:szCs w:val="19"/>
              </w:rPr>
              <w:t xml:space="preserve">CORS_ORIGINS</w:t>
            </w:r>
          </w:p>
        </w:tc>
        <w:tc>
          <w:tcPr>
            <w:tcW w:type="dxa" w:w="6680"/>
            <w:tcMar>
              <w:top w:type="dxa" w:w="90"/>
              <w:left w:type="dxa" w:w="120"/>
              <w:bottom w:type="dxa" w:w="90"/>
              <w:right w:type="dxa" w:w="120"/>
            </w:tcMar>
          </w:tcPr>
          <w:p>
            <w:r>
              <w:rPr>
                <w:sz w:val="19"/>
                <w:szCs w:val="19"/>
              </w:rPr>
              <w:t xml:space="preserve">Comma-separated list of front-end origins allowed to call the API.</w:t>
            </w:r>
          </w:p>
        </w:tc>
      </w:tr>
      <w:tr>
        <w:tc>
          <w:tcPr>
            <w:tcW w:type="dxa" w:w="3400"/>
            <w:tcMar>
              <w:top w:type="dxa" w:w="90"/>
              <w:left w:type="dxa" w:w="120"/>
              <w:bottom w:type="dxa" w:w="90"/>
              <w:right w:type="dxa" w:w="120"/>
            </w:tcMar>
          </w:tcPr>
          <w:p>
            <w:r>
              <w:rPr>
                <w:sz w:val="19"/>
                <w:szCs w:val="19"/>
              </w:rPr>
              <w:t xml:space="preserve">SCAN_TTL_MS</w:t>
            </w:r>
          </w:p>
        </w:tc>
        <w:tc>
          <w:tcPr>
            <w:tcW w:type="dxa" w:w="6680"/>
            <w:tcMar>
              <w:top w:type="dxa" w:w="90"/>
              <w:left w:type="dxa" w:w="120"/>
              <w:bottom w:type="dxa" w:w="90"/>
              <w:right w:type="dxa" w:w="120"/>
            </w:tcMar>
          </w:tcPr>
          <w:p>
            <w:r>
              <w:rPr>
                <w:sz w:val="19"/>
                <w:szCs w:val="19"/>
              </w:rPr>
              <w:t xml:space="preserve">How long a pre-flight scan stays valid before the app refuses to transfer from a stale picture. Ten minutes by default.</w:t>
            </w:r>
          </w:p>
        </w:tc>
      </w:tr>
    </w:tbl>
    <w:p>
      <w:pPr>
        <w:spacing w:after="140" w:line="276"/>
      </w:pPr>
      <w:r>
        <w:t xml:space="preserve">You will need to add these: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GOOGLE_CLIENT_ID=&lt;from the Google console&gt;   GOOGLE_CLIENT_SECRET=&lt;from the Google console&gt;   GOOGLE_REDIRECT_URI=https://your-backend.onrender.com/api/auth/callback   GOOGLE_PROVIDER_MODE=google</w:t>
      </w:r>
    </w:p>
    <w:p>
      <w:pPr>
        <w:spacing w:after="140" w:line="276"/>
      </w:pPr>
      <w:r>
        <w:t xml:space="preserve">Add them to config.ts the same way the existing ones are declared, so a missing value fails loudly at boot rather than quietly at 2am.</w:t>
      </w:r>
    </w:p>
    <w:p>
      <w:pPr>
        <w:pStyle w:val="Heading2"/>
      </w:pPr>
      <w:r>
        <w:t xml:space="preserve">Part 3 — Replace the mock sign-in</w:t>
      </w:r>
    </w:p>
    <w:p>
      <w:pPr>
        <w:spacing w:after="140" w:line="276"/>
      </w:pPr>
      <w:r>
        <w:t xml:space="preserve">Authentication today is a fake that lets you pick between two pretend teachers. The routes live in:</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server/src/routes/auth.ts</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Route today</w:t>
            </w:r>
          </w:p>
        </w:tc>
        <w:tc>
          <w:tcPr>
            <w:tcW w:type="dxa" w:w="6680"/>
            <w:shd w:fill="F4F1E9" w:val="clear"/>
            <w:tcMar>
              <w:top w:type="dxa" w:w="90"/>
              <w:left w:type="dxa" w:w="120"/>
              <w:bottom w:type="dxa" w:w="90"/>
              <w:right w:type="dxa" w:w="120"/>
            </w:tcMar>
          </w:tcPr>
          <w:p>
            <w:r>
              <w:rPr>
                <w:b/>
                <w:bCs/>
                <w:sz w:val="19"/>
                <w:szCs w:val="19"/>
              </w:rPr>
              <w:t xml:space="preserve">What it becomes</w:t>
            </w:r>
          </w:p>
        </w:tc>
      </w:tr>
      <w:tr>
        <w:tc>
          <w:tcPr>
            <w:tcW w:type="dxa" w:w="3400"/>
            <w:tcMar>
              <w:top w:type="dxa" w:w="90"/>
              <w:left w:type="dxa" w:w="120"/>
              <w:bottom w:type="dxa" w:w="90"/>
              <w:right w:type="dxa" w:w="120"/>
            </w:tcMar>
          </w:tcPr>
          <w:p>
            <w:r>
              <w:rPr>
                <w:sz w:val="19"/>
                <w:szCs w:val="19"/>
              </w:rPr>
              <w:t xml:space="preserve">GET /auth/mock-accounts</w:t>
            </w:r>
          </w:p>
        </w:tc>
        <w:tc>
          <w:tcPr>
            <w:tcW w:type="dxa" w:w="6680"/>
            <w:tcMar>
              <w:top w:type="dxa" w:w="90"/>
              <w:left w:type="dxa" w:w="120"/>
              <w:bottom w:type="dxa" w:w="90"/>
              <w:right w:type="dxa" w:w="120"/>
            </w:tcMar>
          </w:tcPr>
          <w:p>
            <w:r>
              <w:rPr>
                <w:sz w:val="19"/>
                <w:szCs w:val="19"/>
              </w:rPr>
              <w:t xml:space="preserve">Delete. It lists the two fake teachers.</w:t>
            </w:r>
          </w:p>
        </w:tc>
      </w:tr>
      <w:tr>
        <w:tc>
          <w:tcPr>
            <w:tcW w:type="dxa" w:w="3400"/>
            <w:tcMar>
              <w:top w:type="dxa" w:w="90"/>
              <w:left w:type="dxa" w:w="120"/>
              <w:bottom w:type="dxa" w:w="90"/>
              <w:right w:type="dxa" w:w="120"/>
            </w:tcMar>
          </w:tcPr>
          <w:p>
            <w:r>
              <w:rPr>
                <w:sz w:val="19"/>
                <w:szCs w:val="19"/>
              </w:rPr>
              <w:t xml:space="preserve">POST /auth/sign-in</w:t>
            </w:r>
          </w:p>
        </w:tc>
        <w:tc>
          <w:tcPr>
            <w:tcW w:type="dxa" w:w="6680"/>
            <w:tcMar>
              <w:top w:type="dxa" w:w="90"/>
              <w:left w:type="dxa" w:w="120"/>
              <w:bottom w:type="dxa" w:w="90"/>
              <w:right w:type="dxa" w:w="120"/>
            </w:tcMar>
          </w:tcPr>
          <w:p>
            <w:r>
              <w:rPr>
                <w:sz w:val="19"/>
                <w:szCs w:val="19"/>
              </w:rPr>
              <w:t xml:space="preserve">Becomes a redirect to Google’s consent screen. Include prompt=select_account so teachers with two Google accounts are always asked which one — this was an explicit product requirement.</w:t>
            </w:r>
          </w:p>
        </w:tc>
      </w:tr>
      <w:tr>
        <w:tc>
          <w:tcPr>
            <w:tcW w:type="dxa" w:w="3400"/>
            <w:tcMar>
              <w:top w:type="dxa" w:w="90"/>
              <w:left w:type="dxa" w:w="120"/>
              <w:bottom w:type="dxa" w:w="90"/>
              <w:right w:type="dxa" w:w="120"/>
            </w:tcMar>
          </w:tcPr>
          <w:p>
            <w:r>
              <w:rPr>
                <w:sz w:val="19"/>
                <w:szCs w:val="19"/>
              </w:rPr>
              <w:t xml:space="preserve">(new) GET /auth/callback</w:t>
            </w:r>
          </w:p>
        </w:tc>
        <w:tc>
          <w:tcPr>
            <w:tcW w:type="dxa" w:w="6680"/>
            <w:tcMar>
              <w:top w:type="dxa" w:w="90"/>
              <w:left w:type="dxa" w:w="120"/>
              <w:bottom w:type="dxa" w:w="90"/>
              <w:right w:type="dxa" w:w="120"/>
            </w:tcMar>
          </w:tcPr>
          <w:p>
            <w:r>
              <w:rPr>
                <w:sz w:val="19"/>
                <w:szCs w:val="19"/>
              </w:rPr>
              <w:t xml:space="preserve">Google sends the user back here with a code. Exchange it for tokens, store them against the session, redirect to the front end.</w:t>
            </w:r>
          </w:p>
        </w:tc>
      </w:tr>
      <w:tr>
        <w:tc>
          <w:tcPr>
            <w:tcW w:type="dxa" w:w="3400"/>
            <w:tcMar>
              <w:top w:type="dxa" w:w="90"/>
              <w:left w:type="dxa" w:w="120"/>
              <w:bottom w:type="dxa" w:w="90"/>
              <w:right w:type="dxa" w:w="120"/>
            </w:tcMar>
          </w:tcPr>
          <w:p>
            <w:r>
              <w:rPr>
                <w:sz w:val="19"/>
                <w:szCs w:val="19"/>
              </w:rPr>
              <w:t xml:space="preserve">GET /auth/me</w:t>
            </w:r>
          </w:p>
        </w:tc>
        <w:tc>
          <w:tcPr>
            <w:tcW w:type="dxa" w:w="6680"/>
            <w:tcMar>
              <w:top w:type="dxa" w:w="90"/>
              <w:left w:type="dxa" w:w="120"/>
              <w:bottom w:type="dxa" w:w="90"/>
              <w:right w:type="dxa" w:w="120"/>
            </w:tcMar>
          </w:tcPr>
          <w:p>
            <w:r>
              <w:rPr>
                <w:sz w:val="19"/>
                <w:szCs w:val="19"/>
              </w:rPr>
              <w:t xml:space="preserve">Keep. Returns the signed-in teacher. Just change where the identity comes from.</w:t>
            </w:r>
          </w:p>
        </w:tc>
      </w:tr>
      <w:tr>
        <w:tc>
          <w:tcPr>
            <w:tcW w:type="dxa" w:w="3400"/>
            <w:tcMar>
              <w:top w:type="dxa" w:w="90"/>
              <w:left w:type="dxa" w:w="120"/>
              <w:bottom w:type="dxa" w:w="90"/>
              <w:right w:type="dxa" w:w="120"/>
            </w:tcMar>
          </w:tcPr>
          <w:p>
            <w:r>
              <w:rPr>
                <w:sz w:val="19"/>
                <w:szCs w:val="19"/>
              </w:rPr>
              <w:t xml:space="preserve">POST /auth/sign-out</w:t>
            </w:r>
          </w:p>
        </w:tc>
        <w:tc>
          <w:tcPr>
            <w:tcW w:type="dxa" w:w="6680"/>
            <w:tcMar>
              <w:top w:type="dxa" w:w="90"/>
              <w:left w:type="dxa" w:w="120"/>
              <w:bottom w:type="dxa" w:w="90"/>
              <w:right w:type="dxa" w:w="120"/>
            </w:tcMar>
          </w:tcPr>
          <w:p>
            <w:r>
              <w:rPr>
                <w:sz w:val="19"/>
                <w:szCs w:val="19"/>
              </w:rPr>
              <w:t xml:space="preserve">Keep. Consider adding a CSRF token — there is a backlog note about this, since the route currently takes no body and could be triggered cross-site.</w:t>
            </w:r>
          </w:p>
        </w:tc>
      </w:tr>
    </w:tbl>
    <w:p>
      <w:pPr>
        <w:spacing w:after="140" w:line="276"/>
      </w:pPr>
      <w:r>
        <w:t xml:space="preserve">You also need somewhere to keep each teacher’s access and refresh tokens, and logic to refresh an expired access token mid-transfer. A long transfer can outlive a one-hour token.</w:t>
      </w:r>
    </w:p>
    <w:p>
      <w:r>
        <w:br w:type="page"/>
      </w:r>
    </w:p>
    <w:p>
      <w:pPr>
        <w:pStyle w:val="Heading2"/>
      </w:pPr>
      <w:r>
        <w:t xml:space="preserve">Part 4 — Write the real provider</w:t>
      </w:r>
    </w:p>
    <w:p>
      <w:pPr>
        <w:spacing w:after="140" w:line="276"/>
      </w:pPr>
      <w:r>
        <w:t xml:space="preserve">Create server/src/adapters/google/real-classroom-provider.ts and implement all sixteen methods. Work down this table. The "watch out for" column is where the project already knows you will get hurt.</w:t>
      </w:r>
    </w:p>
    <w:tbl>
      <w:tblPr>
        <w:tblW w:type="dxa" w:w="10080"/>
        <w:tblBorders>
          <w:top w:val="single" w:color="C9C4B8" w:sz="2"/>
          <w:left w:val="none" w:sz="0"/>
          <w:bottom w:val="single" w:color="C9C4B8" w:sz="2"/>
          <w:right w:val="none" w:sz="0"/>
          <w:insideH w:val="single" w:color="C9C4B8" w:sz="1"/>
          <w:insideV w:val="none" w:sz="0"/>
        </w:tblBorders>
      </w:tblPr>
      <w:tblGrid>
        <w:gridCol w:w="3050"/>
        <w:gridCol w:w="2950"/>
        <w:gridCol w:w="4080"/>
      </w:tblGrid>
      <w:tr>
        <w:trPr>
          <w:tblHeader/>
        </w:trPr>
        <w:tc>
          <w:tcPr>
            <w:tcW w:type="dxa" w:w="3050"/>
            <w:shd w:fill="F4F1E9" w:val="clear"/>
            <w:tcMar>
              <w:top w:type="dxa" w:w="90"/>
              <w:left w:type="dxa" w:w="120"/>
              <w:bottom w:type="dxa" w:w="90"/>
              <w:right w:type="dxa" w:w="120"/>
            </w:tcMar>
          </w:tcPr>
          <w:p>
            <w:r>
              <w:rPr>
                <w:b/>
                <w:bCs/>
                <w:sz w:val="19"/>
                <w:szCs w:val="19"/>
              </w:rPr>
              <w:t xml:space="preserve">Method</w:t>
            </w:r>
          </w:p>
        </w:tc>
        <w:tc>
          <w:tcPr>
            <w:tcW w:type="dxa" w:w="2950"/>
            <w:shd w:fill="F4F1E9" w:val="clear"/>
            <w:tcMar>
              <w:top w:type="dxa" w:w="90"/>
              <w:left w:type="dxa" w:w="120"/>
              <w:bottom w:type="dxa" w:w="90"/>
              <w:right w:type="dxa" w:w="120"/>
            </w:tcMar>
          </w:tcPr>
          <w:p>
            <w:r>
              <w:rPr>
                <w:b/>
                <w:bCs/>
                <w:sz w:val="19"/>
                <w:szCs w:val="19"/>
              </w:rPr>
              <w:t xml:space="preserve">Real Google call</w:t>
            </w:r>
          </w:p>
        </w:tc>
        <w:tc>
          <w:tcPr>
            <w:tcW w:type="dxa" w:w="4080"/>
            <w:shd w:fill="F4F1E9" w:val="clear"/>
            <w:tcMar>
              <w:top w:type="dxa" w:w="90"/>
              <w:left w:type="dxa" w:w="120"/>
              <w:bottom w:type="dxa" w:w="90"/>
              <w:right w:type="dxa" w:w="120"/>
            </w:tcMar>
          </w:tcPr>
          <w:p>
            <w:r>
              <w:rPr>
                <w:b/>
                <w:bCs/>
                <w:sz w:val="19"/>
                <w:szCs w:val="19"/>
              </w:rPr>
              <w:t xml:space="preserve">Watch out for</w:t>
            </w:r>
          </w:p>
        </w:tc>
      </w:tr>
      <w:tr>
        <w:tc>
          <w:tcPr>
            <w:tcW w:type="dxa" w:w="3050"/>
            <w:tcMar>
              <w:top w:type="dxa" w:w="90"/>
              <w:left w:type="dxa" w:w="120"/>
              <w:bottom w:type="dxa" w:w="90"/>
              <w:right w:type="dxa" w:w="120"/>
            </w:tcMar>
          </w:tcPr>
          <w:p>
            <w:r>
              <w:rPr>
                <w:sz w:val="19"/>
                <w:szCs w:val="19"/>
              </w:rPr>
              <w:t xml:space="preserve">listCourses</w:t>
            </w:r>
          </w:p>
        </w:tc>
        <w:tc>
          <w:tcPr>
            <w:tcW w:type="dxa" w:w="2950"/>
            <w:tcMar>
              <w:top w:type="dxa" w:w="90"/>
              <w:left w:type="dxa" w:w="120"/>
              <w:bottom w:type="dxa" w:w="90"/>
              <w:right w:type="dxa" w:w="120"/>
            </w:tcMar>
          </w:tcPr>
          <w:p>
            <w:r>
              <w:rPr>
                <w:sz w:val="19"/>
                <w:szCs w:val="19"/>
              </w:rPr>
              <w:t xml:space="preserve">courses.list</w:t>
            </w:r>
          </w:p>
        </w:tc>
        <w:tc>
          <w:tcPr>
            <w:tcW w:type="dxa" w:w="4080"/>
            <w:tcMar>
              <w:top w:type="dxa" w:w="90"/>
              <w:left w:type="dxa" w:w="120"/>
              <w:bottom w:type="dxa" w:w="90"/>
              <w:right w:type="dxa" w:w="120"/>
            </w:tcMar>
          </w:tcPr>
          <w:p>
            <w:r>
              <w:rPr>
                <w:sz w:val="19"/>
                <w:szCs w:val="19"/>
              </w:rPr>
              <w:t xml:space="preserve">Pass courseStates. The source dropdown needs ACTIVE and ARCHIVED; the target dropdown needs ACTIVE only.</w:t>
            </w:r>
          </w:p>
        </w:tc>
      </w:tr>
      <w:tr>
        <w:tc>
          <w:tcPr>
            <w:tcW w:type="dxa" w:w="3050"/>
            <w:tcMar>
              <w:top w:type="dxa" w:w="90"/>
              <w:left w:type="dxa" w:w="120"/>
              <w:bottom w:type="dxa" w:w="90"/>
              <w:right w:type="dxa" w:w="120"/>
            </w:tcMar>
          </w:tcPr>
          <w:p>
            <w:r>
              <w:rPr>
                <w:sz w:val="19"/>
                <w:szCs w:val="19"/>
              </w:rPr>
              <w:t xml:space="preserve">getCourse</w:t>
            </w:r>
          </w:p>
        </w:tc>
        <w:tc>
          <w:tcPr>
            <w:tcW w:type="dxa" w:w="2950"/>
            <w:tcMar>
              <w:top w:type="dxa" w:w="90"/>
              <w:left w:type="dxa" w:w="120"/>
              <w:bottom w:type="dxa" w:w="90"/>
              <w:right w:type="dxa" w:w="120"/>
            </w:tcMar>
          </w:tcPr>
          <w:p>
            <w:r>
              <w:rPr>
                <w:sz w:val="19"/>
                <w:szCs w:val="19"/>
              </w:rPr>
              <w:t xml:space="preserve">courses.get</w:t>
            </w:r>
          </w:p>
        </w:tc>
        <w:tc>
          <w:tcPr>
            <w:tcW w:type="dxa" w:w="4080"/>
            <w:tcMar>
              <w:top w:type="dxa" w:w="90"/>
              <w:left w:type="dxa" w:w="120"/>
              <w:bottom w:type="dxa" w:w="90"/>
              <w:right w:type="dxa" w:w="120"/>
            </w:tcMar>
          </w:tcPr>
          <w:p>
            <w:r>
              <w:rPr>
                <w:sz w:val="19"/>
                <w:szCs w:val="19"/>
              </w:rPr>
              <w:t xml:space="preserve">—</w:t>
            </w:r>
          </w:p>
        </w:tc>
      </w:tr>
      <w:tr>
        <w:tc>
          <w:tcPr>
            <w:tcW w:type="dxa" w:w="3050"/>
            <w:tcMar>
              <w:top w:type="dxa" w:w="90"/>
              <w:left w:type="dxa" w:w="120"/>
              <w:bottom w:type="dxa" w:w="90"/>
              <w:right w:type="dxa" w:w="120"/>
            </w:tcMar>
          </w:tcPr>
          <w:p>
            <w:r>
              <w:rPr>
                <w:sz w:val="19"/>
                <w:szCs w:val="19"/>
              </w:rPr>
              <w:t xml:space="preserve">countPosts</w:t>
            </w:r>
          </w:p>
        </w:tc>
        <w:tc>
          <w:tcPr>
            <w:tcW w:type="dxa" w:w="2950"/>
            <w:tcMar>
              <w:top w:type="dxa" w:w="90"/>
              <w:left w:type="dxa" w:w="120"/>
              <w:bottom w:type="dxa" w:w="90"/>
              <w:right w:type="dxa" w:w="120"/>
            </w:tcMar>
          </w:tcPr>
          <w:p>
            <w:r>
              <w:rPr>
                <w:sz w:val="19"/>
                <w:szCs w:val="19"/>
              </w:rPr>
              <w:t xml:space="preserve">courses.courseWork.list + courseWorkMaterials.list</w:t>
            </w:r>
          </w:p>
        </w:tc>
        <w:tc>
          <w:tcPr>
            <w:tcW w:type="dxa" w:w="4080"/>
            <w:tcMar>
              <w:top w:type="dxa" w:w="90"/>
              <w:left w:type="dxa" w:w="120"/>
              <w:bottom w:type="dxa" w:w="90"/>
              <w:right w:type="dxa" w:w="120"/>
            </w:tcMar>
          </w:tcPr>
          <w:p>
            <w:r>
              <w:rPr>
                <w:sz w:val="19"/>
                <w:szCs w:val="19"/>
              </w:rPr>
              <w:t xml:space="preserve">Only a count is needed. Do not enumerate everything — this runs for every course on the first screen.</w:t>
            </w:r>
          </w:p>
        </w:tc>
      </w:tr>
      <w:tr>
        <w:tc>
          <w:tcPr>
            <w:tcW w:type="dxa" w:w="3050"/>
            <w:tcMar>
              <w:top w:type="dxa" w:w="90"/>
              <w:left w:type="dxa" w:w="120"/>
              <w:bottom w:type="dxa" w:w="90"/>
              <w:right w:type="dxa" w:w="120"/>
            </w:tcMar>
          </w:tcPr>
          <w:p>
            <w:r>
              <w:rPr>
                <w:sz w:val="19"/>
                <w:szCs w:val="19"/>
              </w:rPr>
              <w:t xml:space="preserve">listTopics</w:t>
            </w:r>
          </w:p>
        </w:tc>
        <w:tc>
          <w:tcPr>
            <w:tcW w:type="dxa" w:w="2950"/>
            <w:tcMar>
              <w:top w:type="dxa" w:w="90"/>
              <w:left w:type="dxa" w:w="120"/>
              <w:bottom w:type="dxa" w:w="90"/>
              <w:right w:type="dxa" w:w="120"/>
            </w:tcMar>
          </w:tcPr>
          <w:p>
            <w:r>
              <w:rPr>
                <w:sz w:val="19"/>
                <w:szCs w:val="19"/>
              </w:rPr>
              <w:t xml:space="preserve">courses.topics.list</w:t>
            </w:r>
          </w:p>
        </w:tc>
        <w:tc>
          <w:tcPr>
            <w:tcW w:type="dxa" w:w="4080"/>
            <w:tcMar>
              <w:top w:type="dxa" w:w="90"/>
              <w:left w:type="dxa" w:w="120"/>
              <w:bottom w:type="dxa" w:w="90"/>
              <w:right w:type="dxa" w:w="120"/>
            </w:tcMar>
          </w:tcPr>
          <w:p>
            <w:r>
              <w:rPr>
                <w:sz w:val="19"/>
                <w:szCs w:val="19"/>
              </w:rPr>
              <w:t xml:space="preserve">Paginate.</w:t>
            </w:r>
          </w:p>
        </w:tc>
      </w:tr>
      <w:tr>
        <w:tc>
          <w:tcPr>
            <w:tcW w:type="dxa" w:w="3050"/>
            <w:tcMar>
              <w:top w:type="dxa" w:w="90"/>
              <w:left w:type="dxa" w:w="120"/>
              <w:bottom w:type="dxa" w:w="90"/>
              <w:right w:type="dxa" w:w="120"/>
            </w:tcMar>
          </w:tcPr>
          <w:p>
            <w:r>
              <w:rPr>
                <w:sz w:val="19"/>
                <w:szCs w:val="19"/>
              </w:rPr>
              <w:t xml:space="preserve">createTopic</w:t>
            </w:r>
          </w:p>
        </w:tc>
        <w:tc>
          <w:tcPr>
            <w:tcW w:type="dxa" w:w="2950"/>
            <w:tcMar>
              <w:top w:type="dxa" w:w="90"/>
              <w:left w:type="dxa" w:w="120"/>
              <w:bottom w:type="dxa" w:w="90"/>
              <w:right w:type="dxa" w:w="120"/>
            </w:tcMar>
          </w:tcPr>
          <w:p>
            <w:r>
              <w:rPr>
                <w:sz w:val="19"/>
                <w:szCs w:val="19"/>
              </w:rPr>
              <w:t xml:space="preserve">courses.topics.create</w:t>
            </w:r>
          </w:p>
        </w:tc>
        <w:tc>
          <w:tcPr>
            <w:tcW w:type="dxa" w:w="4080"/>
            <w:tcMar>
              <w:top w:type="dxa" w:w="90"/>
              <w:left w:type="dxa" w:w="120"/>
              <w:bottom w:type="dxa" w:w="90"/>
              <w:right w:type="dxa" w:w="120"/>
            </w:tcMar>
          </w:tcPr>
          <w:p>
            <w:r>
              <w:rPr>
                <w:sz w:val="19"/>
                <w:szCs w:val="19"/>
              </w:rPr>
              <w:t xml:space="preserve">—</w:t>
            </w:r>
          </w:p>
        </w:tc>
      </w:tr>
      <w:tr>
        <w:tc>
          <w:tcPr>
            <w:tcW w:type="dxa" w:w="3050"/>
            <w:tcMar>
              <w:top w:type="dxa" w:w="90"/>
              <w:left w:type="dxa" w:w="120"/>
              <w:bottom w:type="dxa" w:w="90"/>
              <w:right w:type="dxa" w:w="120"/>
            </w:tcMar>
          </w:tcPr>
          <w:p>
            <w:r>
              <w:rPr>
                <w:sz w:val="19"/>
                <w:szCs w:val="19"/>
              </w:rPr>
              <w:t xml:space="preserve">listCourseWork</w:t>
            </w:r>
          </w:p>
        </w:tc>
        <w:tc>
          <w:tcPr>
            <w:tcW w:type="dxa" w:w="2950"/>
            <w:tcMar>
              <w:top w:type="dxa" w:w="90"/>
              <w:left w:type="dxa" w:w="120"/>
              <w:bottom w:type="dxa" w:w="90"/>
              <w:right w:type="dxa" w:w="120"/>
            </w:tcMar>
          </w:tcPr>
          <w:p>
            <w:r>
              <w:rPr>
                <w:sz w:val="19"/>
                <w:szCs w:val="19"/>
              </w:rPr>
              <w:t xml:space="preserve">courses.courseWork.list</w:t>
            </w:r>
          </w:p>
        </w:tc>
        <w:tc>
          <w:tcPr>
            <w:tcW w:type="dxa" w:w="4080"/>
            <w:tcMar>
              <w:top w:type="dxa" w:w="90"/>
              <w:left w:type="dxa" w:w="120"/>
              <w:bottom w:type="dxa" w:w="90"/>
              <w:right w:type="dxa" w:w="120"/>
            </w:tcMar>
          </w:tcPr>
          <w:p>
            <w:r>
              <w:rPr>
                <w:b/>
                <w:bCs/>
                <w:sz w:val="19"/>
                <w:szCs w:val="19"/>
              </w:rPr>
              <w:t xml:space="preserve">The single most dangerous one. </w:t>
            </w:r>
            <w:r>
              <w:rPr>
                <w:sz w:val="19"/>
                <w:szCs w:val="19"/>
              </w:rPr>
              <w:t xml:space="preserve">Google returns PUBLISHED work only unless you pass courseWorkStates explicitly. Miss this and every Draft and Scheduled post is silently dropped — while all the tests still pass.</w:t>
            </w:r>
          </w:p>
        </w:tc>
      </w:tr>
      <w:tr>
        <w:tc>
          <w:tcPr>
            <w:tcW w:type="dxa" w:w="3050"/>
            <w:tcMar>
              <w:top w:type="dxa" w:w="90"/>
              <w:left w:type="dxa" w:w="120"/>
              <w:bottom w:type="dxa" w:w="90"/>
              <w:right w:type="dxa" w:w="120"/>
            </w:tcMar>
          </w:tcPr>
          <w:p>
            <w:r>
              <w:rPr>
                <w:sz w:val="19"/>
                <w:szCs w:val="19"/>
              </w:rPr>
              <w:t xml:space="preserve">listCourseWorkMaterials</w:t>
            </w:r>
          </w:p>
        </w:tc>
        <w:tc>
          <w:tcPr>
            <w:tcW w:type="dxa" w:w="2950"/>
            <w:tcMar>
              <w:top w:type="dxa" w:w="90"/>
              <w:left w:type="dxa" w:w="120"/>
              <w:bottom w:type="dxa" w:w="90"/>
              <w:right w:type="dxa" w:w="120"/>
            </w:tcMar>
          </w:tcPr>
          <w:p>
            <w:r>
              <w:rPr>
                <w:sz w:val="19"/>
                <w:szCs w:val="19"/>
              </w:rPr>
              <w:t xml:space="preserve">courses.courseWorkMaterials.list</w:t>
            </w:r>
          </w:p>
        </w:tc>
        <w:tc>
          <w:tcPr>
            <w:tcW w:type="dxa" w:w="4080"/>
            <w:tcMar>
              <w:top w:type="dxa" w:w="90"/>
              <w:left w:type="dxa" w:w="120"/>
              <w:bottom w:type="dxa" w:w="90"/>
              <w:right w:type="dxa" w:w="120"/>
            </w:tcMar>
          </w:tcPr>
          <w:p>
            <w:r>
              <w:rPr>
                <w:sz w:val="19"/>
                <w:szCs w:val="19"/>
              </w:rPr>
              <w:t xml:space="preserve">A different endpoint with a differently-named state parameter. Not interchangeable with the one above.</w:t>
            </w:r>
          </w:p>
        </w:tc>
      </w:tr>
      <w:tr>
        <w:tc>
          <w:tcPr>
            <w:tcW w:type="dxa" w:w="3050"/>
            <w:tcMar>
              <w:top w:type="dxa" w:w="90"/>
              <w:left w:type="dxa" w:w="120"/>
              <w:bottom w:type="dxa" w:w="90"/>
              <w:right w:type="dxa" w:w="120"/>
            </w:tcMar>
          </w:tcPr>
          <w:p>
            <w:r>
              <w:rPr>
                <w:sz w:val="19"/>
                <w:szCs w:val="19"/>
              </w:rPr>
              <w:t xml:space="preserve">createCourseWork</w:t>
            </w:r>
          </w:p>
        </w:tc>
        <w:tc>
          <w:tcPr>
            <w:tcW w:type="dxa" w:w="2950"/>
            <w:tcMar>
              <w:top w:type="dxa" w:w="90"/>
              <w:left w:type="dxa" w:w="120"/>
              <w:bottom w:type="dxa" w:w="90"/>
              <w:right w:type="dxa" w:w="120"/>
            </w:tcMar>
          </w:tcPr>
          <w:p>
            <w:r>
              <w:rPr>
                <w:sz w:val="19"/>
                <w:szCs w:val="19"/>
              </w:rPr>
              <w:t xml:space="preserve">courses.courseWork.create</w:t>
            </w:r>
          </w:p>
        </w:tc>
        <w:tc>
          <w:tcPr>
            <w:tcW w:type="dxa" w:w="4080"/>
            <w:tcMar>
              <w:top w:type="dxa" w:w="90"/>
              <w:left w:type="dxa" w:w="120"/>
              <w:bottom w:type="dxa" w:w="90"/>
              <w:right w:type="dxa" w:w="120"/>
            </w:tcMar>
          </w:tcPr>
          <w:p>
            <w:r>
              <w:rPr>
                <w:sz w:val="19"/>
                <w:szCs w:val="19"/>
              </w:rPr>
              <w:t xml:space="preserve">Set state to DRAFT. Do not send dueDate or scheduledTime.</w:t>
            </w:r>
          </w:p>
        </w:tc>
      </w:tr>
      <w:tr>
        <w:tc>
          <w:tcPr>
            <w:tcW w:type="dxa" w:w="3050"/>
            <w:tcMar>
              <w:top w:type="dxa" w:w="90"/>
              <w:left w:type="dxa" w:w="120"/>
              <w:bottom w:type="dxa" w:w="90"/>
              <w:right w:type="dxa" w:w="120"/>
            </w:tcMar>
          </w:tcPr>
          <w:p>
            <w:r>
              <w:rPr>
                <w:sz w:val="19"/>
                <w:szCs w:val="19"/>
              </w:rPr>
              <w:t xml:space="preserve">createCourseWorkMaterial</w:t>
            </w:r>
          </w:p>
        </w:tc>
        <w:tc>
          <w:tcPr>
            <w:tcW w:type="dxa" w:w="2950"/>
            <w:tcMar>
              <w:top w:type="dxa" w:w="90"/>
              <w:left w:type="dxa" w:w="120"/>
              <w:bottom w:type="dxa" w:w="90"/>
              <w:right w:type="dxa" w:w="120"/>
            </w:tcMar>
          </w:tcPr>
          <w:p>
            <w:r>
              <w:rPr>
                <w:sz w:val="19"/>
                <w:szCs w:val="19"/>
              </w:rPr>
              <w:t xml:space="preserve">courses.courseWorkMaterials.create</w:t>
            </w:r>
          </w:p>
        </w:tc>
        <w:tc>
          <w:tcPr>
            <w:tcW w:type="dxa" w:w="4080"/>
            <w:tcMar>
              <w:top w:type="dxa" w:w="90"/>
              <w:left w:type="dxa" w:w="120"/>
              <w:bottom w:type="dxa" w:w="90"/>
              <w:right w:type="dxa" w:w="120"/>
            </w:tcMar>
          </w:tcPr>
          <w:p>
            <w:r>
              <w:rPr>
                <w:sz w:val="19"/>
                <w:szCs w:val="19"/>
              </w:rPr>
              <w:t xml:space="preserve">Materials have no due date and no points. Different shape.</w:t>
            </w:r>
          </w:p>
        </w:tc>
      </w:tr>
      <w:tr>
        <w:tc>
          <w:tcPr>
            <w:tcW w:type="dxa" w:w="3050"/>
            <w:tcMar>
              <w:top w:type="dxa" w:w="90"/>
              <w:left w:type="dxa" w:w="120"/>
              <w:bottom w:type="dxa" w:w="90"/>
              <w:right w:type="dxa" w:w="120"/>
            </w:tcMar>
          </w:tcPr>
          <w:p>
            <w:r>
              <w:rPr>
                <w:sz w:val="19"/>
                <w:szCs w:val="19"/>
              </w:rPr>
              <w:t xml:space="preserve">updateCourseWorkDescription</w:t>
            </w:r>
          </w:p>
        </w:tc>
        <w:tc>
          <w:tcPr>
            <w:tcW w:type="dxa" w:w="2950"/>
            <w:tcMar>
              <w:top w:type="dxa" w:w="90"/>
              <w:left w:type="dxa" w:w="120"/>
              <w:bottom w:type="dxa" w:w="90"/>
              <w:right w:type="dxa" w:w="120"/>
            </w:tcMar>
          </w:tcPr>
          <w:p>
            <w:r>
              <w:rPr>
                <w:sz w:val="19"/>
                <w:szCs w:val="19"/>
              </w:rPr>
              <w:t xml:space="preserve">courses.courseWork.patch with updateMask=description</w:t>
            </w:r>
          </w:p>
        </w:tc>
        <w:tc>
          <w:tcPr>
            <w:tcW w:type="dxa" w:w="4080"/>
            <w:tcMar>
              <w:top w:type="dxa" w:w="90"/>
              <w:left w:type="dxa" w:w="120"/>
              <w:bottom w:type="dxa" w:w="90"/>
              <w:right w:type="dxa" w:w="120"/>
            </w:tcMar>
          </w:tcPr>
          <w:p>
            <w:r>
              <w:rPr>
                <w:sz w:val="19"/>
                <w:szCs w:val="19"/>
              </w:rPr>
              <w:t xml:space="preserve">Used to append the rubric-failure note after the post exists.</w:t>
            </w:r>
          </w:p>
        </w:tc>
      </w:tr>
      <w:tr>
        <w:tc>
          <w:tcPr>
            <w:tcW w:type="dxa" w:w="3050"/>
            <w:tcMar>
              <w:top w:type="dxa" w:w="90"/>
              <w:left w:type="dxa" w:w="120"/>
              <w:bottom w:type="dxa" w:w="90"/>
              <w:right w:type="dxa" w:w="120"/>
            </w:tcMar>
          </w:tcPr>
          <w:p>
            <w:r>
              <w:rPr>
                <w:sz w:val="19"/>
                <w:szCs w:val="19"/>
              </w:rPr>
              <w:t xml:space="preserve">updateCourseWorkMaterialDescription</w:t>
            </w:r>
          </w:p>
        </w:tc>
        <w:tc>
          <w:tcPr>
            <w:tcW w:type="dxa" w:w="2950"/>
            <w:tcMar>
              <w:top w:type="dxa" w:w="90"/>
              <w:left w:type="dxa" w:w="120"/>
              <w:bottom w:type="dxa" w:w="90"/>
              <w:right w:type="dxa" w:w="120"/>
            </w:tcMar>
          </w:tcPr>
          <w:p>
            <w:r>
              <w:rPr>
                <w:sz w:val="19"/>
                <w:szCs w:val="19"/>
              </w:rPr>
              <w:t xml:space="preserve">courses.courseWorkMaterials.patch</w:t>
            </w:r>
          </w:p>
        </w:tc>
        <w:tc>
          <w:tcPr>
            <w:tcW w:type="dxa" w:w="4080"/>
            <w:tcMar>
              <w:top w:type="dxa" w:w="90"/>
              <w:left w:type="dxa" w:w="120"/>
              <w:bottom w:type="dxa" w:w="90"/>
              <w:right w:type="dxa" w:w="120"/>
            </w:tcMar>
          </w:tcPr>
          <w:p>
            <w:r>
              <w:rPr>
                <w:sz w:val="19"/>
                <w:szCs w:val="19"/>
              </w:rPr>
              <w:t xml:space="preserve">Same, for materials.</w:t>
            </w:r>
          </w:p>
        </w:tc>
      </w:tr>
      <w:tr>
        <w:tc>
          <w:tcPr>
            <w:tcW w:type="dxa" w:w="3050"/>
            <w:tcMar>
              <w:top w:type="dxa" w:w="90"/>
              <w:left w:type="dxa" w:w="120"/>
              <w:bottom w:type="dxa" w:w="90"/>
              <w:right w:type="dxa" w:w="120"/>
            </w:tcMar>
          </w:tcPr>
          <w:p>
            <w:r>
              <w:rPr>
                <w:sz w:val="19"/>
                <w:szCs w:val="19"/>
              </w:rPr>
              <w:t xml:space="preserve">getAttachmentHealth</w:t>
            </w:r>
          </w:p>
        </w:tc>
        <w:tc>
          <w:tcPr>
            <w:tcW w:type="dxa" w:w="2950"/>
            <w:tcMar>
              <w:top w:type="dxa" w:w="90"/>
              <w:left w:type="dxa" w:w="120"/>
              <w:bottom w:type="dxa" w:w="90"/>
              <w:right w:type="dxa" w:w="120"/>
            </w:tcMar>
          </w:tcPr>
          <w:p>
            <w:r>
              <w:rPr>
                <w:sz w:val="19"/>
                <w:szCs w:val="19"/>
              </w:rPr>
              <w:t xml:space="preserve">drive.files.get, batched</w:t>
            </w:r>
          </w:p>
        </w:tc>
        <w:tc>
          <w:tcPr>
            <w:tcW w:type="dxa" w:w="4080"/>
            <w:tcMar>
              <w:top w:type="dxa" w:w="90"/>
              <w:left w:type="dxa" w:w="120"/>
              <w:bottom w:type="dxa" w:w="90"/>
              <w:right w:type="dxa" w:w="120"/>
            </w:tcMar>
          </w:tcPr>
          <w:p>
            <w:r>
              <w:rPr>
                <w:sz w:val="19"/>
                <w:szCs w:val="19"/>
              </w:rPr>
              <w:t xml:space="preserve">Takes a list and returns a map. Keep it batched — a 50-post course means hundreds of files, and per-file calls will trigger rate limiting during the scan, where there is no backoff.</w:t>
            </w:r>
          </w:p>
        </w:tc>
      </w:tr>
      <w:tr>
        <w:tc>
          <w:tcPr>
            <w:tcW w:type="dxa" w:w="3050"/>
            <w:tcMar>
              <w:top w:type="dxa" w:w="90"/>
              <w:left w:type="dxa" w:w="120"/>
              <w:bottom w:type="dxa" w:w="90"/>
              <w:right w:type="dxa" w:w="120"/>
            </w:tcMar>
          </w:tcPr>
          <w:p>
            <w:r>
              <w:rPr>
                <w:sz w:val="19"/>
                <w:szCs w:val="19"/>
              </w:rPr>
              <w:t xml:space="preserve">copyAttachmentToMyDrive</w:t>
            </w:r>
          </w:p>
        </w:tc>
        <w:tc>
          <w:tcPr>
            <w:tcW w:type="dxa" w:w="2950"/>
            <w:tcMar>
              <w:top w:type="dxa" w:w="90"/>
              <w:left w:type="dxa" w:w="120"/>
              <w:bottom w:type="dxa" w:w="90"/>
              <w:right w:type="dxa" w:w="120"/>
            </w:tcMar>
          </w:tcPr>
          <w:p>
            <w:r>
              <w:rPr>
                <w:sz w:val="19"/>
                <w:szCs w:val="19"/>
              </w:rPr>
              <w:t xml:space="preserve">drive.files.copy</w:t>
            </w:r>
          </w:p>
        </w:tc>
        <w:tc>
          <w:tcPr>
            <w:tcW w:type="dxa" w:w="4080"/>
            <w:tcMar>
              <w:top w:type="dxa" w:w="90"/>
              <w:left w:type="dxa" w:w="120"/>
              <w:bottom w:type="dxa" w:w="90"/>
              <w:right w:type="dxa" w:w="120"/>
            </w:tcMar>
          </w:tcPr>
          <w:p>
            <w:r>
              <w:rPr>
                <w:sz w:val="19"/>
                <w:szCs w:val="19"/>
              </w:rPr>
              <w:t xml:space="preserve">Must create a new file and leave the original untouched. A bug found in review had the mock mutating the source instead — do not repeat it.</w:t>
            </w:r>
          </w:p>
        </w:tc>
      </w:tr>
      <w:tr>
        <w:tc>
          <w:tcPr>
            <w:tcW w:type="dxa" w:w="3050"/>
            <w:tcMar>
              <w:top w:type="dxa" w:w="90"/>
              <w:left w:type="dxa" w:w="120"/>
              <w:bottom w:type="dxa" w:w="90"/>
              <w:right w:type="dxa" w:w="120"/>
            </w:tcMar>
          </w:tcPr>
          <w:p>
            <w:r>
              <w:rPr>
                <w:sz w:val="19"/>
                <w:szCs w:val="19"/>
              </w:rPr>
              <w:t xml:space="preserve">getRubric</w:t>
            </w:r>
          </w:p>
        </w:tc>
        <w:tc>
          <w:tcPr>
            <w:tcW w:type="dxa" w:w="2950"/>
            <w:tcMar>
              <w:top w:type="dxa" w:w="90"/>
              <w:left w:type="dxa" w:w="120"/>
              <w:bottom w:type="dxa" w:w="90"/>
              <w:right w:type="dxa" w:w="120"/>
            </w:tcMar>
          </w:tcPr>
          <w:p>
            <w:r>
              <w:rPr>
                <w:sz w:val="19"/>
                <w:szCs w:val="19"/>
              </w:rPr>
              <w:t xml:space="preserve">courses.courseWork.rubrics.get</w:t>
            </w:r>
          </w:p>
        </w:tc>
        <w:tc>
          <w:tcPr>
            <w:tcW w:type="dxa" w:w="4080"/>
            <w:tcMar>
              <w:top w:type="dxa" w:w="90"/>
              <w:left w:type="dxa" w:w="120"/>
              <w:bottom w:type="dxa" w:w="90"/>
              <w:right w:type="dxa" w:w="120"/>
            </w:tcMar>
          </w:tcPr>
          <w:p>
            <w:r>
              <w:rPr>
                <w:sz w:val="19"/>
                <w:szCs w:val="19"/>
              </w:rPr>
              <w:t xml:space="preserve">Returns null when there is no rubric.</w:t>
            </w:r>
          </w:p>
        </w:tc>
      </w:tr>
      <w:tr>
        <w:tc>
          <w:tcPr>
            <w:tcW w:type="dxa" w:w="3050"/>
            <w:tcMar>
              <w:top w:type="dxa" w:w="90"/>
              <w:left w:type="dxa" w:w="120"/>
              <w:bottom w:type="dxa" w:w="90"/>
              <w:right w:type="dxa" w:w="120"/>
            </w:tcMar>
          </w:tcPr>
          <w:p>
            <w:r>
              <w:rPr>
                <w:sz w:val="19"/>
                <w:szCs w:val="19"/>
              </w:rPr>
              <w:t xml:space="preserve">createRubric</w:t>
            </w:r>
          </w:p>
        </w:tc>
        <w:tc>
          <w:tcPr>
            <w:tcW w:type="dxa" w:w="2950"/>
            <w:tcMar>
              <w:top w:type="dxa" w:w="90"/>
              <w:left w:type="dxa" w:w="120"/>
              <w:bottom w:type="dxa" w:w="90"/>
              <w:right w:type="dxa" w:w="120"/>
            </w:tcMar>
          </w:tcPr>
          <w:p>
            <w:r>
              <w:rPr>
                <w:sz w:val="19"/>
                <w:szCs w:val="19"/>
              </w:rPr>
              <w:t xml:space="preserve">courses.courseWork.rubrics.create</w:t>
            </w:r>
          </w:p>
        </w:tc>
        <w:tc>
          <w:tcPr>
            <w:tcW w:type="dxa" w:w="4080"/>
            <w:tcMar>
              <w:top w:type="dxa" w:w="90"/>
              <w:left w:type="dxa" w:w="120"/>
              <w:bottom w:type="dxa" w:w="90"/>
              <w:right w:type="dxa" w:w="120"/>
            </w:tcMar>
          </w:tcPr>
          <w:p>
            <w:r>
              <w:rPr>
                <w:sz w:val="19"/>
                <w:szCs w:val="19"/>
              </w:rPr>
              <w:t xml:space="preserve">Throw LicenseBlockedError when Google refuses on Workspace edition grounds. The app handles that gracefully; an unhandled error will not be.</w:t>
            </w:r>
          </w:p>
        </w:tc>
      </w:tr>
    </w:tbl>
    <w:p>
      <w:pPr>
        <w:pStyle w:val="Heading3"/>
      </w:pPr>
      <w:r>
        <w:t xml:space="preserve">Errors the app expects you to throw</w:t>
      </w:r>
    </w:p>
    <w:p>
      <w:pPr>
        <w:spacing w:after="140" w:line="276"/>
      </w:pPr>
      <w:r>
        <w:t xml:space="preserve">Defined in server/src/adapters/types.ts. The transfer engine branches on these, so map Google’s HTTP responses onto them:</w:t>
      </w:r>
    </w:p>
    <w:tbl>
      <w:tblPr>
        <w:tblW w:type="dxa" w:w="10080"/>
        <w:tblBorders>
          <w:top w:val="single" w:color="C9C4B8" w:sz="2"/>
          <w:left w:val="none" w:sz="0"/>
          <w:bottom w:val="single" w:color="C9C4B8" w:sz="2"/>
          <w:right w:val="none" w:sz="0"/>
          <w:insideH w:val="single" w:color="C9C4B8" w:sz="1"/>
          <w:insideV w:val="none" w:sz="0"/>
        </w:tblBorders>
      </w:tblPr>
      <w:tblGrid>
        <w:gridCol w:w="3000"/>
        <w:gridCol w:w="7080"/>
      </w:tblGrid>
      <w:tr>
        <w:trPr>
          <w:tblHeader/>
        </w:trPr>
        <w:tc>
          <w:tcPr>
            <w:tcW w:type="dxa" w:w="3000"/>
            <w:shd w:fill="F4F1E9" w:val="clear"/>
            <w:tcMar>
              <w:top w:type="dxa" w:w="90"/>
              <w:left w:type="dxa" w:w="120"/>
              <w:bottom w:type="dxa" w:w="90"/>
              <w:right w:type="dxa" w:w="120"/>
            </w:tcMar>
          </w:tcPr>
          <w:p>
            <w:r>
              <w:rPr>
                <w:b/>
                <w:bCs/>
                <w:sz w:val="19"/>
                <w:szCs w:val="19"/>
              </w:rPr>
              <w:t xml:space="preserve">Throw this</w:t>
            </w:r>
          </w:p>
        </w:tc>
        <w:tc>
          <w:tcPr>
            <w:tcW w:type="dxa" w:w="7080"/>
            <w:shd w:fill="F4F1E9" w:val="clear"/>
            <w:tcMar>
              <w:top w:type="dxa" w:w="90"/>
              <w:left w:type="dxa" w:w="120"/>
              <w:bottom w:type="dxa" w:w="90"/>
              <w:right w:type="dxa" w:w="120"/>
            </w:tcMar>
          </w:tcPr>
          <w:p>
            <w:r>
              <w:rPr>
                <w:b/>
                <w:bCs/>
                <w:sz w:val="19"/>
                <w:szCs w:val="19"/>
              </w:rPr>
              <w:t xml:space="preserve">When Google says</w:t>
            </w:r>
          </w:p>
        </w:tc>
      </w:tr>
      <w:tr>
        <w:tc>
          <w:tcPr>
            <w:tcW w:type="dxa" w:w="3000"/>
            <w:tcMar>
              <w:top w:type="dxa" w:w="90"/>
              <w:left w:type="dxa" w:w="120"/>
              <w:bottom w:type="dxa" w:w="90"/>
              <w:right w:type="dxa" w:w="120"/>
            </w:tcMar>
          </w:tcPr>
          <w:p>
            <w:r>
              <w:rPr>
                <w:sz w:val="19"/>
                <w:szCs w:val="19"/>
              </w:rPr>
              <w:t xml:space="preserve">RateLimitError</w:t>
            </w:r>
          </w:p>
        </w:tc>
        <w:tc>
          <w:tcPr>
            <w:tcW w:type="dxa" w:w="7080"/>
            <w:tcMar>
              <w:top w:type="dxa" w:w="90"/>
              <w:left w:type="dxa" w:w="120"/>
              <w:bottom w:type="dxa" w:w="90"/>
              <w:right w:type="dxa" w:w="120"/>
            </w:tcMar>
          </w:tcPr>
          <w:p>
            <w:r>
              <w:rPr>
                <w:sz w:val="19"/>
                <w:szCs w:val="19"/>
              </w:rPr>
              <w:t xml:space="preserve">429, or 403 with a rate-limit reason. The engine retries with backoff, up to five attempts.</w:t>
            </w:r>
          </w:p>
        </w:tc>
      </w:tr>
      <w:tr>
        <w:tc>
          <w:tcPr>
            <w:tcW w:type="dxa" w:w="3000"/>
            <w:tcMar>
              <w:top w:type="dxa" w:w="90"/>
              <w:left w:type="dxa" w:w="120"/>
              <w:bottom w:type="dxa" w:w="90"/>
              <w:right w:type="dxa" w:w="120"/>
            </w:tcMar>
          </w:tcPr>
          <w:p>
            <w:r>
              <w:rPr>
                <w:sz w:val="19"/>
                <w:szCs w:val="19"/>
              </w:rPr>
              <w:t xml:space="preserve">PermissionError</w:t>
            </w:r>
          </w:p>
        </w:tc>
        <w:tc>
          <w:tcPr>
            <w:tcW w:type="dxa" w:w="7080"/>
            <w:tcMar>
              <w:top w:type="dxa" w:w="90"/>
              <w:left w:type="dxa" w:w="120"/>
              <w:bottom w:type="dxa" w:w="90"/>
              <w:right w:type="dxa" w:w="120"/>
            </w:tcMar>
          </w:tcPr>
          <w:p>
            <w:r>
              <w:rPr>
                <w:sz w:val="19"/>
                <w:szCs w:val="19"/>
              </w:rPr>
              <w:t xml:space="preserve">403 for genuine permission problems.</w:t>
            </w:r>
          </w:p>
        </w:tc>
      </w:tr>
      <w:tr>
        <w:tc>
          <w:tcPr>
            <w:tcW w:type="dxa" w:w="3000"/>
            <w:tcMar>
              <w:top w:type="dxa" w:w="90"/>
              <w:left w:type="dxa" w:w="120"/>
              <w:bottom w:type="dxa" w:w="90"/>
              <w:right w:type="dxa" w:w="120"/>
            </w:tcMar>
          </w:tcPr>
          <w:p>
            <w:r>
              <w:rPr>
                <w:sz w:val="19"/>
                <w:szCs w:val="19"/>
              </w:rPr>
              <w:t xml:space="preserve">NotFoundError</w:t>
            </w:r>
          </w:p>
        </w:tc>
        <w:tc>
          <w:tcPr>
            <w:tcW w:type="dxa" w:w="7080"/>
            <w:tcMar>
              <w:top w:type="dxa" w:w="90"/>
              <w:left w:type="dxa" w:w="120"/>
              <w:bottom w:type="dxa" w:w="90"/>
              <w:right w:type="dxa" w:w="120"/>
            </w:tcMar>
          </w:tcPr>
          <w:p>
            <w:r>
              <w:rPr>
                <w:sz w:val="19"/>
                <w:szCs w:val="19"/>
              </w:rPr>
              <w:t xml:space="preserve">404.</w:t>
            </w:r>
          </w:p>
        </w:tc>
      </w:tr>
      <w:tr>
        <w:tc>
          <w:tcPr>
            <w:tcW w:type="dxa" w:w="3000"/>
            <w:tcMar>
              <w:top w:type="dxa" w:w="90"/>
              <w:left w:type="dxa" w:w="120"/>
              <w:bottom w:type="dxa" w:w="90"/>
              <w:right w:type="dxa" w:w="120"/>
            </w:tcMar>
          </w:tcPr>
          <w:p>
            <w:r>
              <w:rPr>
                <w:sz w:val="19"/>
                <w:szCs w:val="19"/>
              </w:rPr>
              <w:t xml:space="preserve">LicenseBlockedError</w:t>
            </w:r>
          </w:p>
        </w:tc>
        <w:tc>
          <w:tcPr>
            <w:tcW w:type="dxa" w:w="7080"/>
            <w:tcMar>
              <w:top w:type="dxa" w:w="90"/>
              <w:left w:type="dxa" w:w="120"/>
              <w:bottom w:type="dxa" w:w="90"/>
              <w:right w:type="dxa" w:w="120"/>
            </w:tcMar>
          </w:tcPr>
          <w:p>
            <w:r>
              <w:rPr>
                <w:sz w:val="19"/>
                <w:szCs w:val="19"/>
              </w:rPr>
              <w:t xml:space="preserve">The Workspace edition does not allow rubrics.</w:t>
            </w:r>
          </w:p>
        </w:tc>
      </w:tr>
    </w:tbl>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A divergence that was already resolved for you</w:t>
            </w:r>
          </w:p>
          <w:p>
            <w:pPr>
              <w:spacing w:after="40"/>
            </w:pPr>
            <w:r>
              <w:rPr>
                <w:sz w:val="20"/>
                <w:szCs w:val="20"/>
              </w:rPr>
              <w:t xml:space="preserve">An earlier version of the mock invented a coursework state called SCHEDULED, which is not a real Google value. That has been fixed: the vocabulary is now DRAFT and PUBLISHED exactly as Google defines it, a scheduled post is a DRAFT carrying scheduledTime, and the contract test asserts that representation. Your adapter can map Google responses straight through. (Google also defines DELETED; this app deliberately never requests deleted posts.)</w:t>
            </w:r>
          </w:p>
        </w:tc>
      </w:tr>
    </w:tbl>
    <w:p>
      <w:r>
        <w:br w:type="page"/>
      </w:r>
    </w:p>
    <w:p>
      <w:pPr>
        <w:pStyle w:val="Heading2"/>
      </w:pPr>
      <w:r>
        <w:t xml:space="preserve">Part 5 — Wire it in</w:t>
      </w:r>
    </w:p>
    <w:p>
      <w:pPr>
        <w:spacing w:after="140" w:line="276"/>
      </w:pPr>
      <w:r>
        <w:t xml:space="preserve">Open server/src/app.ts and find the provider construction around line 50. Today it always builds the mock. Make it branch on the config value: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const provider =      deps.provider ??      (config.googleProviderMode === 'google'        ? new RealClassroomProvider(/* auth deps */)        : new MockClassroomProvider(prisma, { perItemDelayMs: config.mockProviderDelayMs }))</w:t>
      </w:r>
    </w:p>
    <w:p>
      <w:pPr>
        <w:spacing w:after="140" w:line="276"/>
      </w:pPr>
      <w:r>
        <w:t xml:space="preserve">This should be the only place in the entire codebase that names a concrete provider. If you find yourself importing RealClassroomProvider anywhere else, stop — something is reaching around the seam.</w:t>
      </w:r>
    </w:p>
    <w:p>
      <w:pPr>
        <w:pStyle w:val="Heading2"/>
      </w:pPr>
      <w:r>
        <w:t xml:space="preserve">Part 6 — Prove it works</w:t>
      </w:r>
    </w:p>
    <w:p>
      <w:pPr>
        <w:spacing w:after="140" w:line="276"/>
      </w:pPr>
      <w:r>
        <w:t xml:space="preserve">There is a contract test suite that describes what any provider must do, regardless of which one it is:</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server/test/classroom-provider.contract.test.ts</w:t>
      </w:r>
    </w:p>
    <w:p>
      <w:pPr>
        <w:spacing w:after="140" w:line="276"/>
      </w:pPr>
      <w:r>
        <w:t xml:space="preserve">It already tests things you will get wrong: that listCourses respects state filters, that listCourseWork returns PUBLISHED only by default exactly like the real API, that pagination returns a token until exhausted, that attachment health is batch-shaped. Point it at your new provider and make it pass.</w:t>
      </w:r>
    </w:p>
    <w:p>
      <w:pPr>
        <w:spacing w:after="140" w:line="276"/>
      </w:pPr>
      <w:r>
        <w:t xml:space="preserve">Then run everything:</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npm test     npm run build     npm run lint</w:t>
      </w:r>
    </w:p>
    <w:p>
      <w:pPr>
        <w:spacing w:after="140" w:line="276"/>
      </w:pPr>
      <w:r>
        <w:t xml:space="preserve">365 tests should pass. If your changes break some, that is the suite doing its job.</w:t>
      </w:r>
    </w:p>
    <w:p>
      <w:pPr>
        <w:pStyle w:val="Heading2"/>
      </w:pPr>
      <w:r>
        <w:t xml:space="preserve">Part 7 — Test against a real classroom</w:t>
      </w:r>
    </w:p>
    <w:p>
      <w:pPr>
        <w:spacing w:after="140" w:line="276"/>
      </w:pPr>
      <w:r>
        <w:t xml:space="preserve">Create two throwaway Google Classroom courses on a test account. Put a handful of posts in the first: one assignment with a Drive attachment, one material, one question, one assignment with a rubric. Then:</w:t>
      </w:r>
    </w:p>
    <w:p>
      <w:pPr>
        <w:pStyle w:val="ListParagraph"/>
        <w:numPr>
          <w:ilvl w:val="0"/>
          <w:numId w:val="3"/>
        </w:numPr>
        <w:spacing w:after="70" w:line="276"/>
      </w:pPr>
      <w:r>
        <w:t xml:space="preserve">Copy from the first into the second and check every post arrived as a draft with dates cleared.</w:t>
      </w:r>
    </w:p>
    <w:p>
      <w:pPr>
        <w:pStyle w:val="ListParagraph"/>
        <w:numPr>
          <w:ilvl w:val="0"/>
          <w:numId w:val="3"/>
        </w:numPr>
        <w:spacing w:after="70" w:line="276"/>
      </w:pPr>
      <w:r>
        <w:t xml:space="preserve">Confirm the attachments point at your original files, and that no "Copy of…" files appeared in Drive.</w:t>
      </w:r>
    </w:p>
    <w:p>
      <w:pPr>
        <w:pStyle w:val="ListParagraph"/>
        <w:numPr>
          <w:ilvl w:val="0"/>
          <w:numId w:val="3"/>
        </w:numPr>
        <w:spacing w:after="70" w:line="276"/>
      </w:pPr>
      <w:r>
        <w:t xml:space="preserve">Trash one of the source files and copy again — you should get the pre-flight panel and a draft shell with a note.</w:t>
      </w:r>
    </w:p>
    <w:p>
      <w:pPr>
        <w:pStyle w:val="ListParagraph"/>
        <w:numPr>
          <w:ilvl w:val="0"/>
          <w:numId w:val="3"/>
        </w:numPr>
        <w:spacing w:after="70" w:line="276"/>
      </w:pPr>
      <w:r>
        <w:t xml:space="preserve">Try it with a file a second account owns, to exercise the permission path.</w:t>
      </w:r>
    </w:p>
    <w:p>
      <w:pPr>
        <w:pStyle w:val="ListParagraph"/>
        <w:numPr>
          <w:ilvl w:val="0"/>
          <w:numId w:val="3"/>
        </w:numPr>
        <w:spacing w:after="70" w:line="276"/>
      </w:pPr>
      <w:r>
        <w:t xml:space="preserve">Check that the summary’s arithmetic line balances.</w:t>
      </w:r>
    </w:p>
    <w:p>
      <w:r>
        <w:br w:type="page"/>
      </w:r>
    </w:p>
    <w:p>
      <w:pPr>
        <w:pStyle w:val="Heading1"/>
      </w:pPr>
      <w:r>
        <w:t xml:space="preserve">Traps this project already walked into</w:t>
      </w:r>
    </w:p>
    <w:p>
      <w:pPr>
        <w:spacing w:after="140" w:line="276"/>
      </w:pPr>
      <w:r>
        <w:t xml:space="preserve">The first seven of these were found during design or code review of this project, before any of it shipped, and each is traceable to a specific review finding. They are recorded here so you do not rediscover them the hard way.</w:t>
      </w:r>
    </w:p>
    <w:p>
      <w:pPr>
        <w:spacing w:after="140" w:line="276"/>
      </w:pPr>
      <w:r>
        <w:t xml:space="preserve">The eighth is different, and is labelled as such: it is ordinary advice for any Google integration, not something this project discovered. It is included because it will bite you, not because anyone here hit it.</w:t>
      </w:r>
    </w:p>
    <w:tbl>
      <w:tblPr>
        <w:tblW w:type="dxa" w:w="10080"/>
        <w:tblBorders>
          <w:top w:val="single" w:color="C9C4B8" w:sz="2"/>
          <w:left w:val="none" w:sz="0"/>
          <w:bottom w:val="single" w:color="C9C4B8" w:sz="2"/>
          <w:right w:val="none" w:sz="0"/>
          <w:insideH w:val="single" w:color="C9C4B8" w:sz="1"/>
          <w:insideV w:val="none" w:sz="0"/>
        </w:tblBorders>
      </w:tblPr>
      <w:tblGrid>
        <w:gridCol w:w="2700"/>
        <w:gridCol w:w="4700"/>
        <w:gridCol w:w="2680"/>
      </w:tblGrid>
      <w:tr>
        <w:trPr>
          <w:tblHeader/>
        </w:trPr>
        <w:tc>
          <w:tcPr>
            <w:tcW w:type="dxa" w:w="2700"/>
            <w:shd w:fill="F4F1E9" w:val="clear"/>
            <w:tcMar>
              <w:top w:type="dxa" w:w="90"/>
              <w:left w:type="dxa" w:w="120"/>
              <w:bottom w:type="dxa" w:w="90"/>
              <w:right w:type="dxa" w:w="120"/>
            </w:tcMar>
          </w:tcPr>
          <w:p>
            <w:r>
              <w:rPr>
                <w:b/>
                <w:bCs/>
                <w:sz w:val="19"/>
                <w:szCs w:val="19"/>
              </w:rPr>
              <w:t xml:space="preserve">Trap</w:t>
            </w:r>
          </w:p>
        </w:tc>
        <w:tc>
          <w:tcPr>
            <w:tcW w:type="dxa" w:w="4700"/>
            <w:shd w:fill="F4F1E9" w:val="clear"/>
            <w:tcMar>
              <w:top w:type="dxa" w:w="90"/>
              <w:left w:type="dxa" w:w="120"/>
              <w:bottom w:type="dxa" w:w="90"/>
              <w:right w:type="dxa" w:w="120"/>
            </w:tcMar>
          </w:tcPr>
          <w:p>
            <w:r>
              <w:rPr>
                <w:b/>
                <w:bCs/>
                <w:sz w:val="19"/>
                <w:szCs w:val="19"/>
              </w:rPr>
              <w:t xml:space="preserve">What happens if you miss it</w:t>
            </w:r>
          </w:p>
        </w:tc>
        <w:tc>
          <w:tcPr>
            <w:tcW w:type="dxa" w:w="2680"/>
            <w:shd w:fill="F4F1E9" w:val="clear"/>
            <w:tcMar>
              <w:top w:type="dxa" w:w="90"/>
              <w:left w:type="dxa" w:w="120"/>
              <w:bottom w:type="dxa" w:w="90"/>
              <w:right w:type="dxa" w:w="120"/>
            </w:tcMar>
          </w:tcPr>
          <w:p>
            <w:r>
              <w:rPr>
                <w:b/>
                <w:bCs/>
                <w:sz w:val="19"/>
                <w:szCs w:val="19"/>
              </w:rPr>
              <w:t xml:space="preserve">Found by</w:t>
            </w:r>
          </w:p>
        </w:tc>
      </w:tr>
      <w:tr>
        <w:tc>
          <w:tcPr>
            <w:tcW w:type="dxa" w:w="2700"/>
            <w:tcMar>
              <w:top w:type="dxa" w:w="90"/>
              <w:left w:type="dxa" w:w="120"/>
              <w:bottom w:type="dxa" w:w="90"/>
              <w:right w:type="dxa" w:w="120"/>
            </w:tcMar>
          </w:tcPr>
          <w:p>
            <w:r>
              <w:rPr>
                <w:sz w:val="19"/>
                <w:szCs w:val="19"/>
              </w:rPr>
              <w:t xml:space="preserve">listCourseWork without courseWorkStates</w:t>
            </w:r>
          </w:p>
        </w:tc>
        <w:tc>
          <w:tcPr>
            <w:tcW w:type="dxa" w:w="4700"/>
            <w:tcMar>
              <w:top w:type="dxa" w:w="90"/>
              <w:left w:type="dxa" w:w="120"/>
              <w:bottom w:type="dxa" w:w="90"/>
              <w:right w:type="dxa" w:w="120"/>
            </w:tcMar>
          </w:tcPr>
          <w:p>
            <w:r>
              <w:rPr>
                <w:sz w:val="19"/>
                <w:szCs w:val="19"/>
              </w:rPr>
              <w:t xml:space="preserve">Google returns published posts only. Every draft and scheduled post is silently dropped, and every test still passes because the fake behaves differently. Rated the most dangerous finding in the review.</w:t>
            </w:r>
          </w:p>
        </w:tc>
        <w:tc>
          <w:tcPr>
            <w:tcW w:type="dxa" w:w="2680"/>
            <w:tcMar>
              <w:top w:type="dxa" w:w="90"/>
              <w:left w:type="dxa" w:w="120"/>
              <w:bottom w:type="dxa" w:w="90"/>
              <w:right w:type="dxa" w:w="120"/>
            </w:tcMar>
          </w:tcPr>
          <w:p>
            <w:r>
              <w:rPr>
                <w:sz w:val="19"/>
                <w:szCs w:val="19"/>
              </w:rPr>
              <w:t xml:space="preserve">Architecture review, APPLY-D</w:t>
            </w:r>
          </w:p>
        </w:tc>
      </w:tr>
      <w:tr>
        <w:tc>
          <w:tcPr>
            <w:tcW w:type="dxa" w:w="2700"/>
            <w:tcMar>
              <w:top w:type="dxa" w:w="90"/>
              <w:left w:type="dxa" w:w="120"/>
              <w:bottom w:type="dxa" w:w="90"/>
              <w:right w:type="dxa" w:w="120"/>
            </w:tcMar>
          </w:tcPr>
          <w:p>
            <w:r>
              <w:rPr>
                <w:sz w:val="19"/>
                <w:szCs w:val="19"/>
              </w:rPr>
              <w:t xml:space="preserve">Assuming Materials use the coursework scope</w:t>
            </w:r>
          </w:p>
        </w:tc>
        <w:tc>
          <w:tcPr>
            <w:tcW w:type="dxa" w:w="4700"/>
            <w:tcMar>
              <w:top w:type="dxa" w:w="90"/>
              <w:left w:type="dxa" w:w="120"/>
              <w:bottom w:type="dxa" w:w="90"/>
              <w:right w:type="dxa" w:w="120"/>
            </w:tcMar>
          </w:tcPr>
          <w:p>
            <w:r>
              <w:rPr>
                <w:sz w:val="19"/>
                <w:szCs w:val="19"/>
              </w:rPr>
              <w:t xml:space="preserve">Materials are a separate API surface with a separate scope. They fail while everything else works.</w:t>
            </w:r>
          </w:p>
        </w:tc>
        <w:tc>
          <w:tcPr>
            <w:tcW w:type="dxa" w:w="2680"/>
            <w:tcMar>
              <w:top w:type="dxa" w:w="90"/>
              <w:left w:type="dxa" w:w="120"/>
              <w:bottom w:type="dxa" w:w="90"/>
              <w:right w:type="dxa" w:w="120"/>
            </w:tcMar>
          </w:tcPr>
          <w:p>
            <w:r>
              <w:rPr>
                <w:sz w:val="19"/>
                <w:szCs w:val="19"/>
              </w:rPr>
              <w:t xml:space="preserve">Product discovery; the original requirements had this wrong</w:t>
            </w:r>
          </w:p>
        </w:tc>
      </w:tr>
      <w:tr>
        <w:tc>
          <w:tcPr>
            <w:tcW w:type="dxa" w:w="2700"/>
            <w:tcMar>
              <w:top w:type="dxa" w:w="90"/>
              <w:left w:type="dxa" w:w="120"/>
              <w:bottom w:type="dxa" w:w="90"/>
              <w:right w:type="dxa" w:w="120"/>
            </w:tcMar>
          </w:tcPr>
          <w:p>
            <w:r>
              <w:rPr>
                <w:sz w:val="19"/>
                <w:szCs w:val="19"/>
              </w:rPr>
              <w:t xml:space="preserve">Assuming drive.readonly is enough</w:t>
            </w:r>
          </w:p>
        </w:tc>
        <w:tc>
          <w:tcPr>
            <w:tcW w:type="dxa" w:w="4700"/>
            <w:tcMar>
              <w:top w:type="dxa" w:w="90"/>
              <w:left w:type="dxa" w:w="120"/>
              <w:bottom w:type="dxa" w:w="90"/>
              <w:right w:type="dxa" w:w="120"/>
            </w:tcMar>
          </w:tcPr>
          <w:p>
            <w:r>
              <w:rPr>
                <w:sz w:val="19"/>
                <w:szCs w:val="19"/>
              </w:rPr>
              <w:t xml:space="preserve">The "Copy to My Drive" fix writes a file. Read-only cannot. You need drive.file.</w:t>
            </w:r>
          </w:p>
        </w:tc>
        <w:tc>
          <w:tcPr>
            <w:tcW w:type="dxa" w:w="2680"/>
            <w:tcMar>
              <w:top w:type="dxa" w:w="90"/>
              <w:left w:type="dxa" w:w="120"/>
              <w:bottom w:type="dxa" w:w="90"/>
              <w:right w:type="dxa" w:w="120"/>
            </w:tcMar>
          </w:tcPr>
          <w:p>
            <w:r>
              <w:rPr>
                <w:sz w:val="19"/>
                <w:szCs w:val="19"/>
              </w:rPr>
              <w:t xml:space="preserve">Product discovery; also missing from the original requirements</w:t>
            </w:r>
          </w:p>
        </w:tc>
      </w:tr>
      <w:tr>
        <w:tc>
          <w:tcPr>
            <w:tcW w:type="dxa" w:w="2700"/>
            <w:tcMar>
              <w:top w:type="dxa" w:w="90"/>
              <w:left w:type="dxa" w:w="120"/>
              <w:bottom w:type="dxa" w:w="90"/>
              <w:right w:type="dxa" w:w="120"/>
            </w:tcMar>
          </w:tcPr>
          <w:p>
            <w:r>
              <w:rPr>
                <w:sz w:val="19"/>
                <w:szCs w:val="19"/>
              </w:rPr>
              <w:t xml:space="preserve">Expecting a rubric copy call</w:t>
            </w:r>
          </w:p>
        </w:tc>
        <w:tc>
          <w:tcPr>
            <w:tcW w:type="dxa" w:w="4700"/>
            <w:tcMar>
              <w:top w:type="dxa" w:w="90"/>
              <w:left w:type="dxa" w:w="120"/>
              <w:bottom w:type="dxa" w:w="90"/>
              <w:right w:type="dxa" w:w="120"/>
            </w:tcMar>
          </w:tcPr>
          <w:p>
            <w:r>
              <w:rPr>
                <w:sz w:val="19"/>
                <w:szCs w:val="19"/>
              </w:rPr>
              <w:t xml:space="preserve">There isn’t one. It is get-then-create, two calls with two failure surfaces, and the licence refusal arrives on the create — after the post already exists.</w:t>
            </w:r>
          </w:p>
        </w:tc>
        <w:tc>
          <w:tcPr>
            <w:tcW w:type="dxa" w:w="2680"/>
            <w:tcMar>
              <w:top w:type="dxa" w:w="90"/>
              <w:left w:type="dxa" w:w="120"/>
              <w:bottom w:type="dxa" w:w="90"/>
              <w:right w:type="dxa" w:w="120"/>
            </w:tcMar>
          </w:tcPr>
          <w:p>
            <w:r>
              <w:rPr>
                <w:sz w:val="19"/>
                <w:szCs w:val="19"/>
              </w:rPr>
              <w:t xml:space="preserve">Architecture review, APPLY-F</w:t>
            </w:r>
          </w:p>
        </w:tc>
      </w:tr>
      <w:tr>
        <w:tc>
          <w:tcPr>
            <w:tcW w:type="dxa" w:w="2700"/>
            <w:tcMar>
              <w:top w:type="dxa" w:w="90"/>
              <w:left w:type="dxa" w:w="120"/>
              <w:bottom w:type="dxa" w:w="90"/>
              <w:right w:type="dxa" w:w="120"/>
            </w:tcMar>
          </w:tcPr>
          <w:p>
            <w:r>
              <w:rPr>
                <w:sz w:val="19"/>
                <w:szCs w:val="19"/>
              </w:rPr>
              <w:t xml:space="preserve">Copying an attachment by mutating the source</w:t>
            </w:r>
          </w:p>
        </w:tc>
        <w:tc>
          <w:tcPr>
            <w:tcW w:type="dxa" w:w="4700"/>
            <w:tcMar>
              <w:top w:type="dxa" w:w="90"/>
              <w:left w:type="dxa" w:w="120"/>
              <w:bottom w:type="dxa" w:w="90"/>
              <w:right w:type="dxa" w:w="120"/>
            </w:tcMar>
          </w:tcPr>
          <w:p>
            <w:r>
              <w:rPr>
                <w:sz w:val="19"/>
                <w:szCs w:val="19"/>
              </w:rPr>
              <w:t xml:space="preserve">The product’s central promise is that the source course is untouched. Insert a new record; never modify the original.</w:t>
            </w:r>
          </w:p>
        </w:tc>
        <w:tc>
          <w:tcPr>
            <w:tcW w:type="dxa" w:w="2680"/>
            <w:tcMar>
              <w:top w:type="dxa" w:w="90"/>
              <w:left w:type="dxa" w:w="120"/>
              <w:bottom w:type="dxa" w:w="90"/>
              <w:right w:type="dxa" w:w="120"/>
            </w:tcMar>
          </w:tcPr>
          <w:p>
            <w:r>
              <w:rPr>
                <w:sz w:val="19"/>
                <w:szCs w:val="19"/>
              </w:rPr>
              <w:t xml:space="preserve">Code review, P0-3 — the mock had actually done this</w:t>
            </w:r>
          </w:p>
        </w:tc>
      </w:tr>
      <w:tr>
        <w:tc>
          <w:tcPr>
            <w:tcW w:type="dxa" w:w="2700"/>
            <w:tcMar>
              <w:top w:type="dxa" w:w="90"/>
              <w:left w:type="dxa" w:w="120"/>
              <w:bottom w:type="dxa" w:w="90"/>
              <w:right w:type="dxa" w:w="120"/>
            </w:tcMar>
          </w:tcPr>
          <w:p>
            <w:r>
              <w:rPr>
                <w:sz w:val="19"/>
                <w:szCs w:val="19"/>
              </w:rPr>
              <w:t xml:space="preserve">Defaulting shareMode to VIEW</w:t>
            </w:r>
          </w:p>
        </w:tc>
        <w:tc>
          <w:tcPr>
            <w:tcW w:type="dxa" w:w="4700"/>
            <w:tcMar>
              <w:top w:type="dxa" w:w="90"/>
              <w:left w:type="dxa" w:w="120"/>
              <w:bottom w:type="dxa" w:w="90"/>
              <w:right w:type="dxa" w:w="120"/>
            </w:tcMar>
          </w:tcPr>
          <w:p>
            <w:r>
              <w:rPr>
                <w:sz w:val="19"/>
                <w:szCs w:val="19"/>
              </w:rPr>
              <w:t xml:space="preserve">Students silently lose their individual copies of worksheets. The interface carries shareMode on Drive attachments specifically so it always travels. Never fill in a default.</w:t>
            </w:r>
          </w:p>
        </w:tc>
        <w:tc>
          <w:tcPr>
            <w:tcW w:type="dxa" w:w="2680"/>
            <w:tcMar>
              <w:top w:type="dxa" w:w="90"/>
              <w:left w:type="dxa" w:w="120"/>
              <w:bottom w:type="dxa" w:w="90"/>
              <w:right w:type="dxa" w:w="120"/>
            </w:tcMar>
          </w:tcPr>
          <w:p>
            <w:r>
              <w:rPr>
                <w:sz w:val="19"/>
                <w:szCs w:val="19"/>
              </w:rPr>
              <w:t xml:space="preserve">Architecture review APPLY-C, again at code review APPLY-A</w:t>
            </w:r>
          </w:p>
        </w:tc>
      </w:tr>
      <w:tr>
        <w:tc>
          <w:tcPr>
            <w:tcW w:type="dxa" w:w="2700"/>
            <w:tcMar>
              <w:top w:type="dxa" w:w="90"/>
              <w:left w:type="dxa" w:w="120"/>
              <w:bottom w:type="dxa" w:w="90"/>
              <w:right w:type="dxa" w:w="120"/>
            </w:tcMar>
          </w:tcPr>
          <w:p>
            <w:r>
              <w:rPr>
                <w:sz w:val="19"/>
                <w:szCs w:val="19"/>
              </w:rPr>
              <w:t xml:space="preserve">Per-file attachment health checks</w:t>
            </w:r>
          </w:p>
        </w:tc>
        <w:tc>
          <w:tcPr>
            <w:tcW w:type="dxa" w:w="4700"/>
            <w:tcMar>
              <w:top w:type="dxa" w:w="90"/>
              <w:left w:type="dxa" w:w="120"/>
              <w:bottom w:type="dxa" w:w="90"/>
              <w:right w:type="dxa" w:w="120"/>
            </w:tcMar>
          </w:tcPr>
          <w:p>
            <w:r>
              <w:rPr>
                <w:sz w:val="19"/>
                <w:szCs w:val="19"/>
              </w:rPr>
              <w:t xml:space="preserve">Hundreds of sequential Drive calls on a large course, and a rate-limit storm during the scan, which has no backoff.</w:t>
            </w:r>
          </w:p>
        </w:tc>
        <w:tc>
          <w:tcPr>
            <w:tcW w:type="dxa" w:w="2680"/>
            <w:tcMar>
              <w:top w:type="dxa" w:w="90"/>
              <w:left w:type="dxa" w:w="120"/>
              <w:bottom w:type="dxa" w:w="90"/>
              <w:right w:type="dxa" w:w="120"/>
            </w:tcMar>
          </w:tcPr>
          <w:p>
            <w:r>
              <w:rPr>
                <w:sz w:val="19"/>
                <w:szCs w:val="19"/>
              </w:rPr>
              <w:t xml:space="preserve">Architecture review, APPLY-G</w:t>
            </w:r>
          </w:p>
        </w:tc>
      </w:tr>
      <w:tr>
        <w:tc>
          <w:tcPr>
            <w:tcW w:type="dxa" w:w="2700"/>
            <w:tcMar>
              <w:top w:type="dxa" w:w="90"/>
              <w:left w:type="dxa" w:w="120"/>
              <w:bottom w:type="dxa" w:w="90"/>
              <w:right w:type="dxa" w:w="120"/>
            </w:tcMar>
          </w:tcPr>
          <w:p>
            <w:r>
              <w:rPr>
                <w:sz w:val="19"/>
                <w:szCs w:val="19"/>
              </w:rPr>
              <w:t xml:space="preserve">Forgetting token refresh</w:t>
            </w:r>
          </w:p>
        </w:tc>
        <w:tc>
          <w:tcPr>
            <w:tcW w:type="dxa" w:w="4700"/>
            <w:tcMar>
              <w:top w:type="dxa" w:w="90"/>
              <w:left w:type="dxa" w:w="120"/>
              <w:bottom w:type="dxa" w:w="90"/>
              <w:right w:type="dxa" w:w="120"/>
            </w:tcMar>
          </w:tcPr>
          <w:p>
            <w:r>
              <w:rPr>
                <w:sz w:val="19"/>
                <w:szCs w:val="19"/>
              </w:rPr>
              <w:t xml:space="preserve">A 50-post transfer can outlive a one-hour access token and die in the middle.</w:t>
            </w:r>
          </w:p>
        </w:tc>
        <w:tc>
          <w:tcPr>
            <w:tcW w:type="dxa" w:w="2680"/>
            <w:tcMar>
              <w:top w:type="dxa" w:w="90"/>
              <w:left w:type="dxa" w:w="120"/>
              <w:bottom w:type="dxa" w:w="90"/>
              <w:right w:type="dxa" w:w="120"/>
            </w:tcMar>
          </w:tcPr>
          <w:p>
            <w:r>
              <w:rPr>
                <w:b/>
                <w:bCs/>
                <w:sz w:val="19"/>
                <w:szCs w:val="19"/>
              </w:rPr>
              <w:t xml:space="preserve">Not a finding from this project. </w:t>
            </w:r>
            <w:r>
              <w:rPr>
                <w:sz w:val="19"/>
                <w:szCs w:val="19"/>
              </w:rPr>
              <w:t xml:space="preserve">General advice — this build has no OAuth tokens to refresh.</w:t>
            </w:r>
          </w:p>
        </w:tc>
      </w:tr>
    </w:tbl>
    <w:p>
      <w:pPr>
        <w:pStyle w:val="Heading1"/>
      </w:pPr>
      <w:r>
        <w:t xml:space="preserve">One more thing before you go live</w:t>
      </w:r>
    </w:p>
    <w:tbl>
      <w:tblPr>
        <w:tblW w:type="dxa" w:w="10080"/>
        <w:tblBorders>
          <w:top w:val="single" w:color="C9C4B8" w:sz="2"/>
          <w:left w:val="single" w:color="8A2418"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8A2418"/>
                <w:sz w:val="20"/>
                <w:szCs w:val="20"/>
              </w:rPr>
              <w:t xml:space="preserve">The database question nobody has answered yet</w:t>
            </w:r>
          </w:p>
          <w:p>
            <w:pPr>
              <w:spacing w:after="40"/>
            </w:pPr>
            <w:r>
              <w:rPr>
                <w:sz w:val="20"/>
                <w:szCs w:val="20"/>
              </w:rPr>
              <w:t xml:space="preserve">The app stores transfer progress in a SQLite file on disk. That is what lets it recover if the server restarts mid-transfer.</w:t>
            </w:r>
          </w:p>
          <w:p>
            <w:pPr>
              <w:spacing w:after="40"/>
            </w:pPr>
            <w:r>
              <w:rPr>
                <w:sz w:val="20"/>
                <w:szCs w:val="20"/>
              </w:rPr>
              <w:t xml:space="preserve">Nobody has verified whether that file survives on Render’s free tier, which uses an ephemeral filesystem and does not offer persistent disks on the free plan. If it does not survive, crash recovery works in testing and silently does not work in production.</w:t>
            </w:r>
          </w:p>
          <w:p>
            <w:pPr>
              <w:spacing w:after="40"/>
            </w:pPr>
            <w:r>
              <w:rPr>
                <w:sz w:val="20"/>
                <w:szCs w:val="20"/>
              </w:rPr>
              <w:t xml:space="preserve">Deploy, start a transfer, let the service spin down, and see whether the job is still there. If it is not, move the database to Postgres. This decision was pre-made — it just needs someone with a deployed instance to check.</w:t>
            </w:r>
          </w:p>
        </w:tc>
      </w:tr>
    </w:tbl>
    <w:p>
      <w:pPr>
        <w:pStyle w:val="Heading1"/>
      </w:pPr>
      <w:r>
        <w:t xml:space="preserve">A rough order of work</w:t>
      </w:r>
    </w:p>
    <w:tbl>
      <w:tblPr>
        <w:tblW w:type="dxa" w:w="10080"/>
        <w:tblBorders>
          <w:top w:val="single" w:color="C9C4B8" w:sz="2"/>
          <w:left w:val="none" w:sz="0"/>
          <w:bottom w:val="single" w:color="C9C4B8" w:sz="2"/>
          <w:right w:val="none" w:sz="0"/>
          <w:insideH w:val="single" w:color="C9C4B8" w:sz="1"/>
          <w:insideV w:val="none" w:sz="0"/>
        </w:tblBorders>
      </w:tblPr>
      <w:tblGrid>
        <w:gridCol w:w="6000"/>
        <w:gridCol w:w="4080"/>
      </w:tblGrid>
      <w:tr>
        <w:trPr>
          <w:tblHeader/>
        </w:trPr>
        <w:tc>
          <w:tcPr>
            <w:tcW w:type="dxa" w:w="6000"/>
            <w:shd w:fill="F4F1E9" w:val="clear"/>
            <w:tcMar>
              <w:top w:type="dxa" w:w="90"/>
              <w:left w:type="dxa" w:w="120"/>
              <w:bottom w:type="dxa" w:w="90"/>
              <w:right w:type="dxa" w:w="120"/>
            </w:tcMar>
          </w:tcPr>
          <w:p>
            <w:r>
              <w:rPr>
                <w:b/>
                <w:bCs/>
                <w:sz w:val="19"/>
                <w:szCs w:val="19"/>
              </w:rPr>
              <w:t xml:space="preserve">Step</w:t>
            </w:r>
          </w:p>
        </w:tc>
        <w:tc>
          <w:tcPr>
            <w:tcW w:type="dxa" w:w="4080"/>
            <w:shd w:fill="F4F1E9" w:val="clear"/>
            <w:tcMar>
              <w:top w:type="dxa" w:w="90"/>
              <w:left w:type="dxa" w:w="120"/>
              <w:bottom w:type="dxa" w:w="90"/>
              <w:right w:type="dxa" w:w="120"/>
            </w:tcMar>
          </w:tcPr>
          <w:p>
            <w:r>
              <w:rPr>
                <w:b/>
                <w:bCs/>
                <w:sz w:val="19"/>
                <w:szCs w:val="19"/>
              </w:rPr>
              <w:t xml:space="preserve">Roughly</w:t>
            </w:r>
          </w:p>
        </w:tc>
      </w:tr>
      <w:tr>
        <w:tc>
          <w:tcPr>
            <w:tcW w:type="dxa" w:w="6000"/>
            <w:tcMar>
              <w:top w:type="dxa" w:w="90"/>
              <w:left w:type="dxa" w:w="120"/>
              <w:bottom w:type="dxa" w:w="90"/>
              <w:right w:type="dxa" w:w="120"/>
            </w:tcMar>
          </w:tcPr>
          <w:p>
            <w:r>
              <w:rPr>
                <w:sz w:val="19"/>
                <w:szCs w:val="19"/>
              </w:rPr>
              <w:t xml:space="preserve">Google Cloud project, APIs, consent screen, credentials</w:t>
            </w:r>
          </w:p>
        </w:tc>
        <w:tc>
          <w:tcPr>
            <w:tcW w:type="dxa" w:w="4080"/>
            <w:tcMar>
              <w:top w:type="dxa" w:w="90"/>
              <w:left w:type="dxa" w:w="120"/>
              <w:bottom w:type="dxa" w:w="90"/>
              <w:right w:type="dxa" w:w="120"/>
            </w:tcMar>
          </w:tcPr>
          <w:p>
            <w:r>
              <w:rPr>
                <w:sz w:val="19"/>
                <w:szCs w:val="19"/>
              </w:rPr>
              <w:t xml:space="preserve">Half a day, mostly waiting on forms</w:t>
            </w:r>
          </w:p>
        </w:tc>
      </w:tr>
      <w:tr>
        <w:tc>
          <w:tcPr>
            <w:tcW w:type="dxa" w:w="6000"/>
            <w:tcMar>
              <w:top w:type="dxa" w:w="90"/>
              <w:left w:type="dxa" w:w="120"/>
              <w:bottom w:type="dxa" w:w="90"/>
              <w:right w:type="dxa" w:w="120"/>
            </w:tcMar>
          </w:tcPr>
          <w:p>
            <w:r>
              <w:rPr>
                <w:sz w:val="19"/>
                <w:szCs w:val="19"/>
              </w:rPr>
              <w:t xml:space="preserve">OAuth sign-in flow and token storage</w:t>
            </w:r>
          </w:p>
        </w:tc>
        <w:tc>
          <w:tcPr>
            <w:tcW w:type="dxa" w:w="4080"/>
            <w:tcMar>
              <w:top w:type="dxa" w:w="90"/>
              <w:left w:type="dxa" w:w="120"/>
              <w:bottom w:type="dxa" w:w="90"/>
              <w:right w:type="dxa" w:w="120"/>
            </w:tcMar>
          </w:tcPr>
          <w:p>
            <w:r>
              <w:rPr>
                <w:sz w:val="19"/>
                <w:szCs w:val="19"/>
              </w:rPr>
              <w:t xml:space="preserve">A day or two</w:t>
            </w:r>
          </w:p>
        </w:tc>
      </w:tr>
      <w:tr>
        <w:tc>
          <w:tcPr>
            <w:tcW w:type="dxa" w:w="6000"/>
            <w:tcMar>
              <w:top w:type="dxa" w:w="90"/>
              <w:left w:type="dxa" w:w="120"/>
              <w:bottom w:type="dxa" w:w="90"/>
              <w:right w:type="dxa" w:w="120"/>
            </w:tcMar>
          </w:tcPr>
          <w:p>
            <w:r>
              <w:rPr>
                <w:sz w:val="19"/>
                <w:szCs w:val="19"/>
              </w:rPr>
              <w:t xml:space="preserve">The sixteen provider methods</w:t>
            </w:r>
          </w:p>
        </w:tc>
        <w:tc>
          <w:tcPr>
            <w:tcW w:type="dxa" w:w="4080"/>
            <w:tcMar>
              <w:top w:type="dxa" w:w="90"/>
              <w:left w:type="dxa" w:w="120"/>
              <w:bottom w:type="dxa" w:w="90"/>
              <w:right w:type="dxa" w:w="120"/>
            </w:tcMar>
          </w:tcPr>
          <w:p>
            <w:r>
              <w:rPr>
                <w:sz w:val="19"/>
                <w:szCs w:val="19"/>
              </w:rPr>
              <w:t xml:space="preserve">The bulk of it — several days</w:t>
            </w:r>
          </w:p>
        </w:tc>
      </w:tr>
      <w:tr>
        <w:tc>
          <w:tcPr>
            <w:tcW w:type="dxa" w:w="6000"/>
            <w:tcMar>
              <w:top w:type="dxa" w:w="90"/>
              <w:left w:type="dxa" w:w="120"/>
              <w:bottom w:type="dxa" w:w="90"/>
              <w:right w:type="dxa" w:w="120"/>
            </w:tcMar>
          </w:tcPr>
          <w:p>
            <w:r>
              <w:rPr>
                <w:sz w:val="19"/>
                <w:szCs w:val="19"/>
              </w:rPr>
              <w:t xml:space="preserve">Making the contract tests pass</w:t>
            </w:r>
          </w:p>
        </w:tc>
        <w:tc>
          <w:tcPr>
            <w:tcW w:type="dxa" w:w="4080"/>
            <w:tcMar>
              <w:top w:type="dxa" w:w="90"/>
              <w:left w:type="dxa" w:w="120"/>
              <w:bottom w:type="dxa" w:w="90"/>
              <w:right w:type="dxa" w:w="120"/>
            </w:tcMar>
          </w:tcPr>
          <w:p>
            <w:r>
              <w:rPr>
                <w:sz w:val="19"/>
                <w:szCs w:val="19"/>
              </w:rPr>
              <w:t xml:space="preserve">A day, and it will find real bugs</w:t>
            </w:r>
          </w:p>
        </w:tc>
      </w:tr>
      <w:tr>
        <w:tc>
          <w:tcPr>
            <w:tcW w:type="dxa" w:w="6000"/>
            <w:tcMar>
              <w:top w:type="dxa" w:w="90"/>
              <w:left w:type="dxa" w:w="120"/>
              <w:bottom w:type="dxa" w:w="90"/>
              <w:right w:type="dxa" w:w="120"/>
            </w:tcMar>
          </w:tcPr>
          <w:p>
            <w:r>
              <w:rPr>
                <w:sz w:val="19"/>
                <w:szCs w:val="19"/>
              </w:rPr>
              <w:t xml:space="preserve">End-to-end testing on real courses</w:t>
            </w:r>
          </w:p>
        </w:tc>
        <w:tc>
          <w:tcPr>
            <w:tcW w:type="dxa" w:w="4080"/>
            <w:tcMar>
              <w:top w:type="dxa" w:w="90"/>
              <w:left w:type="dxa" w:w="120"/>
              <w:bottom w:type="dxa" w:w="90"/>
              <w:right w:type="dxa" w:w="120"/>
            </w:tcMar>
          </w:tcPr>
          <w:p>
            <w:r>
              <w:rPr>
                <w:sz w:val="19"/>
                <w:szCs w:val="19"/>
              </w:rPr>
              <w:t xml:space="preserve">A day</w:t>
            </w:r>
          </w:p>
        </w:tc>
      </w:tr>
      <w:tr>
        <w:tc>
          <w:tcPr>
            <w:tcW w:type="dxa" w:w="6000"/>
            <w:tcMar>
              <w:top w:type="dxa" w:w="90"/>
              <w:left w:type="dxa" w:w="120"/>
              <w:bottom w:type="dxa" w:w="90"/>
              <w:right w:type="dxa" w:w="120"/>
            </w:tcMar>
          </w:tcPr>
          <w:p>
            <w:r>
              <w:rPr>
                <w:sz w:val="19"/>
                <w:szCs w:val="19"/>
              </w:rPr>
              <w:t xml:space="preserve">Deployment and the SQLite durability check</w:t>
            </w:r>
          </w:p>
        </w:tc>
        <w:tc>
          <w:tcPr>
            <w:tcW w:type="dxa" w:w="4080"/>
            <w:tcMar>
              <w:top w:type="dxa" w:w="90"/>
              <w:left w:type="dxa" w:w="120"/>
              <w:bottom w:type="dxa" w:w="90"/>
              <w:right w:type="dxa" w:w="120"/>
            </w:tcMar>
          </w:tcPr>
          <w:p>
            <w:r>
              <w:rPr>
                <w:sz w:val="19"/>
                <w:szCs w:val="19"/>
              </w:rPr>
              <w:t xml:space="preserve">Half a day, possibly plus a Postgres migration</w:t>
            </w:r>
          </w:p>
        </w:tc>
      </w:tr>
      <w:tr>
        <w:tc>
          <w:tcPr>
            <w:tcW w:type="dxa" w:w="6000"/>
            <w:tcMar>
              <w:top w:type="dxa" w:w="90"/>
              <w:left w:type="dxa" w:w="120"/>
              <w:bottom w:type="dxa" w:w="90"/>
              <w:right w:type="dxa" w:w="120"/>
            </w:tcMar>
          </w:tcPr>
          <w:p>
            <w:r>
              <w:rPr>
                <w:sz w:val="19"/>
                <w:szCs w:val="19"/>
              </w:rPr>
              <w:t xml:space="preserve">Google verification review (only if publishing publicly)</w:t>
            </w:r>
          </w:p>
        </w:tc>
        <w:tc>
          <w:tcPr>
            <w:tcW w:type="dxa" w:w="4080"/>
            <w:tcMar>
              <w:top w:type="dxa" w:w="90"/>
              <w:left w:type="dxa" w:w="120"/>
              <w:bottom w:type="dxa" w:w="90"/>
              <w:right w:type="dxa" w:w="120"/>
            </w:tcMar>
          </w:tcPr>
          <w:p>
            <w:r>
              <w:rPr>
                <w:sz w:val="19"/>
                <w:szCs w:val="19"/>
              </w:rPr>
              <w:t xml:space="preserve">Weeks, and outside your control</w:t>
            </w:r>
          </w:p>
        </w:tc>
      </w:tr>
    </w:tbl>
    <w:p>
      <w:pPr>
        <w:spacing w:after="140" w:line="276"/>
      </w:pPr>
      <w:r>
        <w:t xml:space="preserve">Everything except the last row is ordinary engineering with a known shape. Start the verification review early if you need it, because it is the only item that cannot be compressed by working harder.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Georgia" w:cs="Georgia" w:eastAsia="Georgia" w:hAnsi="Georgia"/>
      <w:b/>
      <w:bCs/>
      <w:color w:val="1A1A1A"/>
      <w:sz w:val="52"/>
      <w:szCs w:val="52"/>
    </w:rPr>
  </w:style>
  <w:style w:type="paragraph" w:styleId="Subtitle">
    <w:name w:val="Subtitle"/>
    <w:basedOn w:val="Normal"/>
    <w:next w:val="Normal"/>
    <w:pPr>
      <w:spacing w:after="360"/>
    </w:pPr>
    <w:rPr>
      <w:rFonts w:ascii="Calibri" w:cs="Calibri" w:eastAsia="Calibri" w:hAnsi="Calibri"/>
      <w:color w:val="5A5A5A"/>
      <w:sz w:val="24"/>
      <w:szCs w:val="24"/>
    </w:rPr>
  </w:style>
  <w:style w:type="paragraph" w:styleId="Heading1">
    <w:name w:val="Heading 1"/>
    <w:basedOn w:val="Normal"/>
    <w:next w:val="Normal"/>
    <w:qFormat/>
    <w:pPr>
      <w:pBdr>
        <w:bottom w:val="single" w:color="C9C4B8" w:sz="6" w:space="6"/>
      </w:pBdr>
      <w:spacing w:after="16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F5C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2026-08-14T15:37:43.248Z</dcterms:created>
  <dcterms:modified xsi:type="dcterms:W3CDTF">2026-08-14T15:37:43.249Z</dcterms:modified>
</cp:coreProperties>
</file>

<file path=docProps/custom.xml><?xml version="1.0" encoding="utf-8"?>
<Properties xmlns="http://schemas.openxmlformats.org/officeDocument/2006/custom-properties" xmlns:vt="http://schemas.openxmlformats.org/officeDocument/2006/docPropsVTypes"/>
</file>