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E454C"/>
          <w:sz w:val="18"/>
        </w:rPr>
        <w:t>VOTERIGHT · INTERNAL PLANNING DOCUMENT</w:t>
      </w:r>
    </w:p>
    <w:p>
      <w:pPr>
        <w:pStyle w:val="Title"/>
      </w:pPr>
      <w:r>
        <w:rPr>
          <w:color w:val="14201F"/>
        </w:rPr>
        <w:t>Operations Manual</w:t>
      </w:r>
    </w:p>
    <w:p>
      <w:r>
        <w:rPr>
          <w:color w:val="445451"/>
          <w:sz w:val="22"/>
        </w:rPr>
        <w:t>Part I: the step-by-step procedure behind every business process in the Operating Register. Part II: the success metrics each role is actually accountable for.</w:t>
      </w:r>
    </w:p>
    <w:p/>
    <w:p>
      <w:pPr>
        <w:pStyle w:val="Heading1"/>
      </w:pPr>
      <w:r>
        <w:t>Part I — Process Procedures</w:t>
      </w:r>
    </w:p>
    <w:p>
      <w:r>
        <w:rPr>
          <w:color w:val="445451"/>
        </w:rPr>
        <w:t>Each entry is the actual sequence a staff member follows — grounded in VoteRight's real admin tools and workflows. Numbers match the Operating Register.</w:t>
      </w:r>
    </w:p>
    <w:p>
      <w:pPr>
        <w:pStyle w:val="Heading2"/>
      </w:pPr>
      <w:r>
        <w:rPr>
          <w:color w:val="0E454C"/>
        </w:rPr>
        <w:t>A. Data &amp; Editorial Operations</w:t>
      </w:r>
    </w:p>
    <w:p>
      <w:r>
        <w:rPr>
          <w:i/>
          <w:color w:val="445451"/>
          <w:sz w:val="18"/>
        </w:rPr>
        <w:t>reports to Data Operations Director</w:t>
      </w:r>
    </w:p>
    <w:p>
      <w:r>
        <w:rPr>
          <w:b/>
          <w:sz w:val="22"/>
        </w:rPr>
        <w:t xml:space="preserve">1. Ingestion pipeline monitoring &amp; triage  </w:t>
      </w:r>
      <w:r>
        <w:rPr>
          <w:b/>
          <w:color w:val="0E454C"/>
          <w:sz w:val="19"/>
        </w:rPr>
        <w:t>— Data Ops Analyst</w:t>
      </w:r>
    </w:p>
    <w:p>
      <w:pPr>
        <w:pStyle w:val="ListNumber"/>
        <w:spacing w:after="40"/>
      </w:pPr>
      <w:r>
        <w:t>Review the Data Freshness panel in /admin weekly.</w:t>
      </w:r>
    </w:p>
    <w:p>
      <w:pPr>
        <w:pStyle w:val="ListNumber"/>
        <w:spacing w:after="40"/>
      </w:pPr>
      <w:r>
        <w:t>For any source marked stale or failed, read its note field for the specific reason.</w:t>
      </w:r>
    </w:p>
    <w:p>
      <w:pPr>
        <w:pStyle w:val="ListNumber"/>
        <w:spacing w:after="40"/>
      </w:pPr>
      <w:r>
        <w:t>For a failed run, check the GitHub Actions run history for the ingest workflow's error log.</w:t>
      </w:r>
    </w:p>
    <w:p>
      <w:pPr>
        <w:pStyle w:val="ListNumber"/>
        <w:spacing w:after="40"/>
      </w:pPr>
      <w:r>
        <w:t>For a stale-but-succeeding run, query the live upstream source directly to confirm it's a genuine upstream gap, not a bug in our matching logic.</w:t>
      </w:r>
    </w:p>
    <w:p>
      <w:pPr>
        <w:pStyle w:val="ListNumber"/>
        <w:spacing w:after="40"/>
      </w:pPr>
      <w:r>
        <w:t>Log the finding; escalate to Engineering if it's our bug, otherwise note the expected resolution.</w:t>
      </w:r>
    </w:p>
    <w:p>
      <w:pPr>
        <w:spacing w:after="80"/>
      </w:pPr>
    </w:p>
    <w:p>
      <w:r>
        <w:rPr>
          <w:b/>
          <w:sz w:val="22"/>
        </w:rPr>
        <w:t xml:space="preserve">2. Vote → position coding  </w:t>
      </w:r>
      <w:r>
        <w:rPr>
          <w:b/>
          <w:color w:val="0E454C"/>
          <w:sz w:val="19"/>
        </w:rPr>
        <w:t>— Position Coding Specialist</w:t>
      </w:r>
    </w:p>
    <w:p>
      <w:pPr>
        <w:pStyle w:val="ListNumber"/>
        <w:spacing w:after="40"/>
      </w:pPr>
      <w:r>
        <w:t>Open /admin/positions and pull the queue of uncoded votes.</w:t>
      </w:r>
    </w:p>
    <w:p>
      <w:pPr>
        <w:pStyle w:val="ListNumber"/>
        <w:spacing w:after="40"/>
      </w:pPr>
      <w:r>
        <w:t>For each politician, review votes not yet coded.</w:t>
      </w:r>
    </w:p>
    <w:p>
      <w:pPr>
        <w:pStyle w:val="ListNumber"/>
        <w:spacing w:after="40"/>
      </w:pPr>
      <w:r>
        <w:t>Match the bill's substance to the correct scoring topic/axis.</w:t>
      </w:r>
    </w:p>
    <w:p>
      <w:pPr>
        <w:pStyle w:val="ListNumber"/>
        <w:spacing w:after="40"/>
      </w:pPr>
      <w:r>
        <w:t>Write a plain-language statement of what the vote means on that axis, and code its value.</w:t>
      </w:r>
    </w:p>
    <w:p>
      <w:pPr>
        <w:pStyle w:val="ListNumber"/>
        <w:spacing w:after="40"/>
      </w:pPr>
      <w:r>
        <w:t>Submit — this creates a citation from the vote's own official source and a scored position.</w:t>
      </w:r>
    </w:p>
    <w:p>
      <w:pPr>
        <w:pStyle w:val="ListNumber"/>
        <w:spacing w:after="40"/>
      </w:pPr>
      <w:r>
        <w:t>One vote, one human judgment call — never batch-inferred.</w:t>
      </w:r>
    </w:p>
    <w:p>
      <w:pPr>
        <w:spacing w:after="80"/>
      </w:pPr>
    </w:p>
    <w:p>
      <w:r>
        <w:rPr>
          <w:b/>
          <w:sz w:val="22"/>
        </w:rPr>
        <w:t xml:space="preserve">3. Citation sourcing &amp; Wayback archival  </w:t>
      </w:r>
      <w:r>
        <w:rPr>
          <w:b/>
          <w:color w:val="0E454C"/>
          <w:sz w:val="19"/>
        </w:rPr>
        <w:t>— Data Ops Analyst</w:t>
      </w:r>
    </w:p>
    <w:p>
      <w:pPr>
        <w:pStyle w:val="ListNumber"/>
        <w:spacing w:after="40"/>
      </w:pPr>
      <w:r>
        <w:t>Identify the source URL behind any integrity-sensitive claim before it publishes.</w:t>
      </w:r>
    </w:p>
    <w:p>
      <w:pPr>
        <w:pStyle w:val="ListNumber"/>
        <w:spacing w:after="40"/>
      </w:pPr>
      <w:r>
        <w:t>Run the Wayback capture utility against that URL.</w:t>
      </w:r>
    </w:p>
    <w:p>
      <w:pPr>
        <w:pStyle w:val="ListNumber"/>
        <w:spacing w:after="40"/>
      </w:pPr>
      <w:r>
        <w:t>Attach both the live and archived URLs to the citation record.</w:t>
      </w:r>
    </w:p>
    <w:p>
      <w:pPr>
        <w:pStyle w:val="ListNumber"/>
        <w:spacing w:after="40"/>
      </w:pPr>
      <w:r>
        <w:t>Spot-check that the archived snapshot actually shows the claimed content.</w:t>
      </w:r>
    </w:p>
    <w:p>
      <w:pPr>
        <w:spacing w:after="80"/>
      </w:pPr>
    </w:p>
    <w:p>
      <w:r>
        <w:rPr>
          <w:b/>
          <w:sz w:val="22"/>
        </w:rPr>
        <w:t xml:space="preserve">4. Outside money &amp; endorsements curation  </w:t>
      </w:r>
      <w:r>
        <w:rPr>
          <w:b/>
          <w:color w:val="0E454C"/>
          <w:sz w:val="19"/>
        </w:rPr>
        <w:t>— Transparency Curator</w:t>
      </w:r>
    </w:p>
    <w:p>
      <w:pPr>
        <w:pStyle w:val="ListNumber"/>
        <w:spacing w:after="40"/>
      </w:pPr>
      <w:r>
        <w:t>Open /admin/transparency.</w:t>
      </w:r>
    </w:p>
    <w:p>
      <w:pPr>
        <w:pStyle w:val="ListNumber"/>
        <w:spacing w:after="40"/>
      </w:pPr>
      <w:r>
        <w:t>Pull new campaign-finance filings and organizational endorsement announcements.</w:t>
      </w:r>
    </w:p>
    <w:p>
      <w:pPr>
        <w:pStyle w:val="ListNumber"/>
        <w:spacing w:after="40"/>
      </w:pPr>
      <w:r>
        <w:t>Locate the citation for each — the official filing or the org's own announcement.</w:t>
      </w:r>
    </w:p>
    <w:p>
      <w:pPr>
        <w:pStyle w:val="ListNumber"/>
        <w:spacing w:after="40"/>
      </w:pPr>
      <w:r>
        <w:t>Enter structured donor/amount/recipient or endorsement records.</w:t>
      </w:r>
    </w:p>
    <w:p>
      <w:pPr>
        <w:pStyle w:val="ListNumber"/>
        <w:spacing w:after="40"/>
      </w:pPr>
      <w:r>
        <w:t>Publish only entries that carry a citation.</w:t>
      </w:r>
    </w:p>
    <w:p>
      <w:pPr>
        <w:spacing w:after="80"/>
      </w:pPr>
    </w:p>
    <w:p>
      <w:r>
        <w:rPr>
          <w:b/>
          <w:sz w:val="22"/>
        </w:rPr>
        <w:t xml:space="preserve">5. New-jurisdiction research &amp; data seeding  </w:t>
      </w:r>
      <w:r>
        <w:rPr>
          <w:b/>
          <w:color w:val="0E454C"/>
          <w:sz w:val="19"/>
        </w:rPr>
        <w:t>— Civic Research Analyst</w:t>
      </w:r>
    </w:p>
    <w:p>
      <w:pPr>
        <w:pStyle w:val="ListNumber"/>
        <w:spacing w:after="40"/>
      </w:pPr>
      <w:r>
        <w:t>Confirm the jurisdiction's real government structure from its own official site.</w:t>
      </w:r>
    </w:p>
    <w:p>
      <w:pPr>
        <w:pStyle w:val="ListNumber"/>
        <w:spacing w:after="40"/>
      </w:pPr>
      <w:r>
        <w:t>Live-verify current officeholders against multiple corroborating sources.</w:t>
      </w:r>
    </w:p>
    <w:p>
      <w:pPr>
        <w:pStyle w:val="ListNumber"/>
        <w:spacing w:after="40"/>
      </w:pPr>
      <w:r>
        <w:t>Research the jurisdiction's real legal accountability mechanism with a specific citation — never assume it mirrors another state.</w:t>
      </w:r>
    </w:p>
    <w:p>
      <w:pPr>
        <w:pStyle w:val="ListNumber"/>
        <w:spacing w:after="40"/>
      </w:pPr>
      <w:r>
        <w:t>Draft the seed migration with structural data only; scored positions come later.</w:t>
      </w:r>
    </w:p>
    <w:p>
      <w:pPr>
        <w:pStyle w:val="ListNumber"/>
        <w:spacing w:after="40"/>
      </w:pPr>
      <w:r>
        <w:t>Test the migration against a disposable database.</w:t>
      </w:r>
    </w:p>
    <w:p>
      <w:pPr>
        <w:pStyle w:val="ListNumber"/>
        <w:spacing w:after="40"/>
      </w:pPr>
      <w:r>
        <w:t>Deploy, then live-verify a real address in that jurisdiction resolves correctly.</w:t>
      </w:r>
    </w:p>
    <w:p>
      <w:pPr>
        <w:spacing w:after="80"/>
      </w:pPr>
    </w:p>
    <w:p>
      <w:r>
        <w:rPr>
          <w:b/>
          <w:sz w:val="22"/>
        </w:rPr>
        <w:t xml:space="preserve">6. Officeholder roster maintenance  </w:t>
      </w:r>
      <w:r>
        <w:rPr>
          <w:b/>
          <w:color w:val="0E454C"/>
          <w:sz w:val="19"/>
        </w:rPr>
        <w:t>— Data Ops Analyst</w:t>
      </w:r>
    </w:p>
    <w:p>
      <w:pPr>
        <w:pStyle w:val="ListNumber"/>
        <w:spacing w:after="40"/>
      </w:pPr>
      <w:r>
        <w:t>Monitor for resignations, appointments, and special elections in every seeded jurisdiction.</w:t>
      </w:r>
    </w:p>
    <w:p>
      <w:pPr>
        <w:pStyle w:val="ListNumber"/>
        <w:spacing w:after="40"/>
      </w:pPr>
      <w:r>
        <w:t>Verify each change against an official source.</w:t>
      </w:r>
    </w:p>
    <w:p>
      <w:pPr>
        <w:pStyle w:val="ListNumber"/>
        <w:spacing w:after="40"/>
      </w:pPr>
      <w:r>
        <w:t>Close out the departing term and add the new one.</w:t>
      </w:r>
    </w:p>
    <w:p>
      <w:pPr>
        <w:pStyle w:val="ListNumber"/>
        <w:spacing w:after="40"/>
      </w:pPr>
      <w:r>
        <w:t>Confirm ballot and candidate pages reflect the change.</w:t>
      </w:r>
    </w:p>
    <w:p>
      <w:pPr>
        <w:spacing w:after="80"/>
      </w:pPr>
    </w:p>
    <w:p>
      <w:r>
        <w:rPr>
          <w:b/>
          <w:sz w:val="22"/>
        </w:rPr>
        <w:t xml:space="preserve">7. Scoring bias-audit sampling  </w:t>
      </w:r>
      <w:r>
        <w:rPr>
          <w:b/>
          <w:color w:val="0E454C"/>
          <w:sz w:val="19"/>
        </w:rPr>
        <w:t>— Scoring QA Specialist</w:t>
      </w:r>
    </w:p>
    <w:p>
      <w:pPr>
        <w:pStyle w:val="ListNumber"/>
        <w:spacing w:after="40"/>
      </w:pPr>
      <w:r>
        <w:t>Pull a random sample of scored candidates across parties and office types.</w:t>
      </w:r>
    </w:p>
    <w:p>
      <w:pPr>
        <w:pStyle w:val="ListNumber"/>
        <w:spacing w:after="40"/>
      </w:pPr>
      <w:r>
        <w:t>Check the coverage gate and axis-weighting behave consistently across the sample.</w:t>
      </w:r>
    </w:p>
    <w:p>
      <w:pPr>
        <w:pStyle w:val="ListNumber"/>
        <w:spacing w:after="40"/>
      </w:pPr>
      <w:r>
        <w:t>Flag systematic skew for the Data Ops Lead and Engineering to investigate.</w:t>
      </w:r>
    </w:p>
    <w:p>
      <w:pPr>
        <w:pStyle w:val="ListNumber"/>
        <w:spacing w:after="40"/>
      </w:pPr>
      <w:r>
        <w:t>Log the audit and its outcome.</w:t>
      </w:r>
    </w:p>
    <w:p>
      <w:pPr>
        <w:spacing w:after="80"/>
      </w:pPr>
    </w:p>
    <w:p>
      <w:r>
        <w:rPr>
          <w:b/>
          <w:sz w:val="22"/>
        </w:rPr>
        <w:t xml:space="preserve">8. Mandate → promise tracking  </w:t>
      </w:r>
      <w:r>
        <w:rPr>
          <w:b/>
          <w:color w:val="0E454C"/>
          <w:sz w:val="19"/>
        </w:rPr>
        <w:t>— Data Ops Analyst</w:t>
      </w:r>
    </w:p>
    <w:p>
      <w:pPr>
        <w:pStyle w:val="ListNumber"/>
        <w:spacing w:after="40"/>
      </w:pPr>
      <w:r>
        <w:t>After a race outcome is recorded, pull winning candidates' pre-election commitments.</w:t>
      </w:r>
    </w:p>
    <w:p>
      <w:pPr>
        <w:pStyle w:val="ListNumber"/>
        <w:spacing w:after="40"/>
      </w:pPr>
      <w:r>
        <w:t>Confirm each converts correctly into a tracked promise with its origin citation.</w:t>
      </w:r>
    </w:p>
    <w:p>
      <w:pPr>
        <w:pStyle w:val="ListNumber"/>
        <w:spacing w:after="40"/>
      </w:pPr>
      <w:r>
        <w:t>Monitor status over the term and update with new citations as things change.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B. Trust &amp; Safety</w:t>
      </w:r>
    </w:p>
    <w:p>
      <w:r>
        <w:rPr>
          <w:i/>
          <w:color w:val="445451"/>
          <w:sz w:val="18"/>
        </w:rPr>
        <w:t>reports to Trust &amp; Safety Director</w:t>
      </w:r>
    </w:p>
    <w:p>
      <w:r>
        <w:rPr>
          <w:b/>
          <w:sz w:val="22"/>
        </w:rPr>
        <w:t xml:space="preserve">9. Argument moderation queue  </w:t>
      </w:r>
      <w:r>
        <w:rPr>
          <w:b/>
          <w:color w:val="0E454C"/>
          <w:sz w:val="19"/>
        </w:rPr>
        <w:t>— Moderator</w:t>
      </w:r>
    </w:p>
    <w:p>
      <w:pPr>
        <w:pStyle w:val="ListNumber"/>
        <w:spacing w:after="40"/>
      </w:pPr>
      <w:r>
        <w:t>Open /admin/moderation.</w:t>
      </w:r>
    </w:p>
    <w:p>
      <w:pPr>
        <w:pStyle w:val="ListNumber"/>
        <w:spacing w:after="40"/>
      </w:pPr>
      <w:r>
        <w:t>Review each pending argument against community standards and legal risk.</w:t>
      </w:r>
    </w:p>
    <w:p>
      <w:pPr>
        <w:pStyle w:val="ListNumber"/>
        <w:spacing w:after="40"/>
      </w:pPr>
      <w:r>
        <w:t>Approve, reject, or request edits.</w:t>
      </w:r>
    </w:p>
    <w:p>
      <w:pPr>
        <w:pStyle w:val="ListNumber"/>
        <w:spacing w:after="40"/>
      </w:pPr>
      <w:r>
        <w:t>Escalate borderline calls to the T&amp;S Lead.</w:t>
      </w:r>
    </w:p>
    <w:p>
      <w:pPr>
        <w:spacing w:after="80"/>
      </w:pPr>
    </w:p>
    <w:p>
      <w:r>
        <w:rPr>
          <w:b/>
          <w:sz w:val="22"/>
        </w:rPr>
        <w:t xml:space="preserve">10. Integrity disputes triage &amp; resolution  </w:t>
      </w:r>
      <w:r>
        <w:rPr>
          <w:b/>
          <w:color w:val="0E454C"/>
          <w:sz w:val="19"/>
        </w:rPr>
        <w:t>— Moderator / Investigator</w:t>
      </w:r>
    </w:p>
    <w:p>
      <w:pPr>
        <w:pStyle w:val="ListNumber"/>
        <w:spacing w:after="40"/>
      </w:pPr>
      <w:r>
        <w:t>Open /admin/disputes.</w:t>
      </w:r>
    </w:p>
    <w:p>
      <w:pPr>
        <w:pStyle w:val="ListNumber"/>
        <w:spacing w:after="40"/>
      </w:pPr>
      <w:r>
        <w:t>Investigate the flagged claim against its citation.</w:t>
      </w:r>
    </w:p>
    <w:p>
      <w:pPr>
        <w:pStyle w:val="ListNumber"/>
        <w:spacing w:after="40"/>
      </w:pPr>
      <w:r>
        <w:t>Correct or annotate the record if the dispute is valid.</w:t>
      </w:r>
    </w:p>
    <w:p>
      <w:pPr>
        <w:pStyle w:val="ListNumber"/>
        <w:spacing w:after="40"/>
      </w:pPr>
      <w:r>
        <w:t>Resolve and log the outcome either way, with a note.</w:t>
      </w:r>
    </w:p>
    <w:p>
      <w:pPr>
        <w:spacing w:after="80"/>
      </w:pPr>
    </w:p>
    <w:p>
      <w:r>
        <w:rPr>
          <w:b/>
          <w:sz w:val="22"/>
        </w:rPr>
        <w:t xml:space="preserve">11. Signing-key anomaly review  </w:t>
      </w:r>
      <w:r>
        <w:rPr>
          <w:b/>
          <w:color w:val="0E454C"/>
          <w:sz w:val="19"/>
        </w:rPr>
        <w:t>— Security Analyst</w:t>
      </w:r>
    </w:p>
    <w:p>
      <w:pPr>
        <w:pStyle w:val="ListNumber"/>
        <w:spacing w:after="40"/>
      </w:pPr>
      <w:r>
        <w:t>Review each “used from a new context” alert.</w:t>
      </w:r>
    </w:p>
    <w:p>
      <w:pPr>
        <w:pStyle w:val="ListNumber"/>
        <w:spacing w:after="40"/>
      </w:pPr>
      <w:r>
        <w:t>Assess plausibility — new device vs. suspicious pattern.</w:t>
      </w:r>
    </w:p>
    <w:p>
      <w:pPr>
        <w:pStyle w:val="ListNumber"/>
        <w:spacing w:after="40"/>
      </w:pPr>
      <w:r>
        <w:t>Acknowledge if legitimate; if suspicious, flag it to the user and consider recommending key rotation.</w:t>
      </w:r>
    </w:p>
    <w:p>
      <w:pPr>
        <w:spacing w:after="80"/>
      </w:pPr>
    </w:p>
    <w:p>
      <w:r>
        <w:rPr>
          <w:b/>
          <w:sz w:val="22"/>
        </w:rPr>
        <w:t xml:space="preserve">12. Community guidelines enforcement  </w:t>
      </w:r>
      <w:r>
        <w:rPr>
          <w:b/>
          <w:color w:val="0E454C"/>
          <w:sz w:val="19"/>
        </w:rPr>
        <w:t>— Moderator</w:t>
      </w:r>
    </w:p>
    <w:p>
      <w:pPr>
        <w:pStyle w:val="ListNumber"/>
        <w:spacing w:after="40"/>
      </w:pPr>
      <w:r>
        <w:t>Review repeat-offender patterns from moderation and disputes.</w:t>
      </w:r>
    </w:p>
    <w:p>
      <w:pPr>
        <w:pStyle w:val="ListNumber"/>
        <w:spacing w:after="40"/>
      </w:pPr>
      <w:r>
        <w:t>Warn on first violations, escalate to suspension on repeats.</w:t>
      </w:r>
    </w:p>
    <w:p>
      <w:pPr>
        <w:pStyle w:val="ListNumber"/>
        <w:spacing w:after="40"/>
      </w:pPr>
      <w:r>
        <w:t>Handle appeals with a documented review.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C. Civic Process Operations</w:t>
      </w:r>
    </w:p>
    <w:p>
      <w:r>
        <w:rPr>
          <w:i/>
          <w:color w:val="445451"/>
          <w:sz w:val="18"/>
        </w:rPr>
        <w:t>reports to Civic Process Director</w:t>
      </w:r>
    </w:p>
    <w:p>
      <w:r>
        <w:rPr>
          <w:b/>
          <w:sz w:val="22"/>
        </w:rPr>
        <w:t xml:space="preserve">13. Referenda &amp; mandates pipeline  </w:t>
      </w:r>
      <w:r>
        <w:rPr>
          <w:b/>
          <w:color w:val="0E454C"/>
          <w:sz w:val="19"/>
        </w:rPr>
        <w:t>— Civic Process Coordinator</w:t>
      </w:r>
    </w:p>
    <w:p>
      <w:pPr>
        <w:pStyle w:val="ListNumber"/>
        <w:spacing w:after="40"/>
      </w:pPr>
      <w:r>
        <w:t>Schedule a proposal once it reaches referendum status (eligibility auto-derives from the proposal's own jurisdiction).</w:t>
      </w:r>
    </w:p>
    <w:p>
      <w:pPr>
        <w:pStyle w:val="ListNumber"/>
        <w:spacing w:after="40"/>
      </w:pPr>
      <w:r>
        <w:t>Certify once voting closes — computes turnout against the registered-voter denominator.</w:t>
      </w:r>
    </w:p>
    <w:p>
      <w:pPr>
        <w:pStyle w:val="ListNumber"/>
        <w:spacing w:after="40"/>
      </w:pPr>
      <w:r>
        <w:t>Publish if it meets the threshold — this creates mandate-commitment rows for every candidate in the next race.</w:t>
      </w:r>
    </w:p>
    <w:p>
      <w:pPr>
        <w:pStyle w:val="ListNumber"/>
        <w:spacing w:after="40"/>
      </w:pPr>
      <w:r>
        <w:t>Collect candidates' cited commitment answers.</w:t>
      </w:r>
    </w:p>
    <w:p>
      <w:pPr>
        <w:pStyle w:val="ListNumber"/>
        <w:spacing w:after="40"/>
      </w:pPr>
      <w:r>
        <w:t>After the election, record the outcome — winners' commitments become tracked promises.</w:t>
      </w:r>
    </w:p>
    <w:p>
      <w:pPr>
        <w:pStyle w:val="ListNumber"/>
        <w:spacing w:after="40"/>
      </w:pPr>
      <w:r>
        <w:t>Redact ballot-token identities per the retention policy once published.</w:t>
      </w:r>
    </w:p>
    <w:p>
      <w:pPr>
        <w:spacing w:after="80"/>
      </w:pPr>
    </w:p>
    <w:p>
      <w:r>
        <w:rPr>
          <w:b/>
          <w:sz w:val="22"/>
        </w:rPr>
        <w:t xml:space="preserve">14. Accountability campaign status tracking  </w:t>
      </w:r>
      <w:r>
        <w:rPr>
          <w:b/>
          <w:color w:val="0E454C"/>
          <w:sz w:val="19"/>
        </w:rPr>
        <w:t>— Civic Process Coordinator</w:t>
      </w:r>
    </w:p>
    <w:p>
      <w:pPr>
        <w:pStyle w:val="ListNumber"/>
        <w:spacing w:after="40"/>
      </w:pPr>
      <w:r>
        <w:t>Open /admin/accountability.</w:t>
      </w:r>
    </w:p>
    <w:p>
      <w:pPr>
        <w:pStyle w:val="ListNumber"/>
        <w:spacing w:after="40"/>
      </w:pPr>
      <w:r>
        <w:t>Check whether each campaign's real-world process (petition, judicial filing) has moved.</w:t>
      </w:r>
    </w:p>
    <w:p>
      <w:pPr>
        <w:pStyle w:val="ListNumber"/>
        <w:spacing w:after="40"/>
      </w:pPr>
      <w:r>
        <w:t>Update its external status to match reality.</w:t>
      </w:r>
    </w:p>
    <w:p>
      <w:pPr>
        <w:pStyle w:val="ListNumber"/>
        <w:spacing w:after="40"/>
      </w:pPr>
      <w:r>
        <w:t>Keep the disclosure text accurate — in-app support is never a legal signature.</w:t>
      </w:r>
    </w:p>
    <w:p>
      <w:pPr>
        <w:spacing w:after="80"/>
      </w:pPr>
    </w:p>
    <w:p>
      <w:r>
        <w:rPr>
          <w:b/>
          <w:sz w:val="22"/>
        </w:rPr>
        <w:t xml:space="preserve">15. Election-cycle &amp; race calendar maintenance  </w:t>
      </w:r>
      <w:r>
        <w:rPr>
          <w:b/>
          <w:color w:val="0E454C"/>
          <w:sz w:val="19"/>
        </w:rPr>
        <w:t>— Civic Process Coordinator</w:t>
      </w:r>
    </w:p>
    <w:p>
      <w:pPr>
        <w:pStyle w:val="ListNumber"/>
        <w:spacing w:after="40"/>
      </w:pPr>
      <w:r>
        <w:t>Track official filing deadlines and election dates per jurisdiction.</w:t>
      </w:r>
    </w:p>
    <w:p>
      <w:pPr>
        <w:pStyle w:val="ListNumber"/>
        <w:spacing w:after="40"/>
      </w:pPr>
      <w:r>
        <w:t>Create or update election-cycle and race records ahead of each cycle.</w:t>
      </w:r>
    </w:p>
    <w:p>
      <w:pPr>
        <w:pStyle w:val="ListNumber"/>
        <w:spacing w:after="40"/>
      </w:pPr>
      <w:r>
        <w:t>Confirm candidacy records are current as deadlines pass.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D. Legal &amp; Compliance</w:t>
      </w:r>
    </w:p>
    <w:p>
      <w:r>
        <w:rPr>
          <w:i/>
          <w:color w:val="445451"/>
          <w:sz w:val="18"/>
        </w:rPr>
        <w:t>reports to General Counsel</w:t>
      </w:r>
    </w:p>
    <w:p>
      <w:r>
        <w:rPr>
          <w:b/>
          <w:sz w:val="22"/>
        </w:rPr>
        <w:t xml:space="preserve">16. Privacy request handling  </w:t>
      </w:r>
      <w:r>
        <w:rPr>
          <w:b/>
          <w:color w:val="0E454C"/>
          <w:sz w:val="19"/>
        </w:rPr>
        <w:t>— Privacy &amp; Compliance Specialist</w:t>
      </w:r>
    </w:p>
    <w:p>
      <w:pPr>
        <w:pStyle w:val="ListNumber"/>
        <w:spacing w:after="40"/>
      </w:pPr>
      <w:r>
        <w:t>Log the request on receipt — this starts the 45-day MODPA clock.</w:t>
      </w:r>
    </w:p>
    <w:p>
      <w:pPr>
        <w:pStyle w:val="ListNumber"/>
        <w:spacing w:after="40"/>
      </w:pPr>
      <w:r>
        <w:t>Verify the requester's identity appropriately.</w:t>
      </w:r>
    </w:p>
    <w:p>
      <w:pPr>
        <w:pStyle w:val="ListNumber"/>
        <w:spacing w:after="40"/>
      </w:pPr>
      <w:r>
        <w:t>Fulfill access, deletion, or correction within the statutory window.</w:t>
      </w:r>
    </w:p>
    <w:p>
      <w:pPr>
        <w:pStyle w:val="ListNumber"/>
        <w:spacing w:after="40"/>
      </w:pPr>
      <w:r>
        <w:t>For a deletion, execute the documented retention/redaction procedure.</w:t>
      </w:r>
    </w:p>
    <w:p>
      <w:pPr>
        <w:pStyle w:val="ListNumber"/>
        <w:spacing w:after="40"/>
      </w:pPr>
      <w:r>
        <w:t>Document the appeal path if disputed (60-day window).</w:t>
      </w:r>
    </w:p>
    <w:p>
      <w:pPr>
        <w:spacing w:after="80"/>
      </w:pPr>
    </w:p>
    <w:p>
      <w:r>
        <w:rPr>
          <w:b/>
          <w:sz w:val="22"/>
        </w:rPr>
        <w:t xml:space="preserve">17. Ongoing counsel review cadence  </w:t>
      </w:r>
      <w:r>
        <w:rPr>
          <w:b/>
          <w:color w:val="0E454C"/>
          <w:sz w:val="19"/>
        </w:rPr>
        <w:t>— General Counsel</w:t>
      </w:r>
    </w:p>
    <w:p>
      <w:pPr>
        <w:pStyle w:val="ListNumber"/>
        <w:spacing w:after="40"/>
      </w:pPr>
      <w:r>
        <w:t>Maintain the open legal-review item list.</w:t>
      </w:r>
    </w:p>
    <w:p>
      <w:pPr>
        <w:pStyle w:val="ListNumber"/>
        <w:spacing w:after="40"/>
      </w:pPr>
      <w:r>
        <w:t>Schedule periodic review of defamation exposure, election-law compliance, and platform terms.</w:t>
      </w:r>
    </w:p>
    <w:p>
      <w:pPr>
        <w:pStyle w:val="ListNumber"/>
        <w:spacing w:after="40"/>
      </w:pPr>
      <w:r>
        <w:t>Review any new feature with legal exposure before it ships.</w:t>
      </w:r>
    </w:p>
    <w:p>
      <w:pPr>
        <w:pStyle w:val="ListNumber"/>
        <w:spacing w:after="40"/>
      </w:pPr>
      <w:r>
        <w:t>Log resolution of each item with date and outcome.</w:t>
      </w:r>
    </w:p>
    <w:p>
      <w:pPr>
        <w:spacing w:after="80"/>
      </w:pPr>
    </w:p>
    <w:p>
      <w:r>
        <w:rPr>
          <w:b/>
          <w:sz w:val="22"/>
        </w:rPr>
        <w:t xml:space="preserve">18. Per-jurisdiction legal-mechanism verification  </w:t>
      </w:r>
      <w:r>
        <w:rPr>
          <w:b/>
          <w:color w:val="0E454C"/>
          <w:sz w:val="19"/>
        </w:rPr>
        <w:t>— Legal Research Analyst</w:t>
      </w:r>
    </w:p>
    <w:p>
      <w:pPr>
        <w:pStyle w:val="ListNumber"/>
        <w:spacing w:after="40"/>
      </w:pPr>
      <w:r>
        <w:t>Before seeding a new jurisdiction, research its real recall/removal/petition law from primary sources.</w:t>
      </w:r>
    </w:p>
    <w:p>
      <w:pPr>
        <w:pStyle w:val="ListNumber"/>
        <w:spacing w:after="40"/>
      </w:pPr>
      <w:r>
        <w:t>Get the exact mechanism type and citation right — never port one state's law to another.</w:t>
      </w:r>
    </w:p>
    <w:p>
      <w:pPr>
        <w:pStyle w:val="ListNumber"/>
        <w:spacing w:after="40"/>
      </w:pPr>
      <w:r>
        <w:t>Have counsel spot-check any novel mechanism before it publishes.</w:t>
      </w:r>
    </w:p>
    <w:p>
      <w:pPr>
        <w:spacing w:after="80"/>
      </w:pPr>
    </w:p>
    <w:p>
      <w:r>
        <w:rPr>
          <w:b/>
          <w:sz w:val="22"/>
        </w:rPr>
        <w:t xml:space="preserve">19. Data protection &amp; security compliance review  </w:t>
      </w:r>
      <w:r>
        <w:rPr>
          <w:b/>
          <w:color w:val="0E454C"/>
          <w:sz w:val="19"/>
        </w:rPr>
        <w:t>— Compliance Specialist</w:t>
      </w:r>
    </w:p>
    <w:p>
      <w:pPr>
        <w:pStyle w:val="ListNumber"/>
        <w:spacing w:after="40"/>
      </w:pPr>
      <w:r>
        <w:t>Periodically audit what's collected and its retention against applicable state law.</w:t>
      </w:r>
    </w:p>
    <w:p>
      <w:pPr>
        <w:pStyle w:val="ListNumber"/>
        <w:spacing w:after="40"/>
      </w:pPr>
      <w:r>
        <w:t>Review new features pre-launch for compliance risk.</w:t>
      </w:r>
    </w:p>
    <w:p>
      <w:pPr>
        <w:pStyle w:val="ListNumber"/>
        <w:spacing w:after="40"/>
      </w:pPr>
      <w:r>
        <w:t>Maintain the incident-response plan for a potential breach.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E. Engineering &amp; Infrastructure</w:t>
      </w:r>
    </w:p>
    <w:p>
      <w:r>
        <w:rPr>
          <w:i/>
          <w:color w:val="445451"/>
          <w:sz w:val="18"/>
        </w:rPr>
        <w:t>reports to Engineering Director / CTO</w:t>
      </w:r>
    </w:p>
    <w:p>
      <w:r>
        <w:rPr>
          <w:b/>
          <w:sz w:val="22"/>
        </w:rPr>
        <w:t xml:space="preserve">20. Application development &amp; maintenance  </w:t>
      </w:r>
      <w:r>
        <w:rPr>
          <w:b/>
          <w:color w:val="0E454C"/>
          <w:sz w:val="19"/>
        </w:rPr>
        <w:t>— Software Engineer</w:t>
      </w:r>
    </w:p>
    <w:p>
      <w:pPr>
        <w:pStyle w:val="ListNumber"/>
        <w:spacing w:after="40"/>
      </w:pPr>
      <w:r>
        <w:t>Triage bug reports and feature requests.</w:t>
      </w:r>
    </w:p>
    <w:p>
      <w:pPr>
        <w:pStyle w:val="ListNumber"/>
        <w:spacing w:after="40"/>
      </w:pPr>
      <w:r>
        <w:t>Implement with tests where the codebase already has coverage patterns.</w:t>
      </w:r>
    </w:p>
    <w:p>
      <w:pPr>
        <w:pStyle w:val="ListNumber"/>
        <w:spacing w:after="40"/>
      </w:pPr>
      <w:r>
        <w:t>Typecheck, test, and build clean before every deploy.</w:t>
      </w:r>
    </w:p>
    <w:p>
      <w:pPr>
        <w:pStyle w:val="ListNumber"/>
        <w:spacing w:after="40"/>
      </w:pPr>
      <w:r>
        <w:t>Get review on anything touching participation-eligibility or citation integrity.</w:t>
      </w:r>
    </w:p>
    <w:p>
      <w:pPr>
        <w:spacing w:after="80"/>
      </w:pPr>
    </w:p>
    <w:p>
      <w:r>
        <w:rPr>
          <w:b/>
          <w:sz w:val="22"/>
        </w:rPr>
        <w:t xml:space="preserve">21. Deployment &amp; release management  </w:t>
      </w:r>
      <w:r>
        <w:rPr>
          <w:b/>
          <w:color w:val="0E454C"/>
          <w:sz w:val="19"/>
        </w:rPr>
        <w:t>— DevOps Engineer</w:t>
      </w:r>
    </w:p>
    <w:p>
      <w:pPr>
        <w:pStyle w:val="ListNumber"/>
        <w:spacing w:after="40"/>
      </w:pPr>
      <w:r>
        <w:t>Pull latest on the production host and run pending migrations.</w:t>
      </w:r>
    </w:p>
    <w:p>
      <w:pPr>
        <w:pStyle w:val="ListNumber"/>
        <w:spacing w:after="40"/>
      </w:pPr>
      <w:r>
        <w:t>Build and verify it's clean.</w:t>
      </w:r>
    </w:p>
    <w:p>
      <w:pPr>
        <w:pStyle w:val="ListNumber"/>
        <w:spacing w:after="40"/>
      </w:pPr>
      <w:r>
        <w:t>Restart the service.</w:t>
      </w:r>
    </w:p>
    <w:p>
      <w:pPr>
        <w:pStyle w:val="ListNumber"/>
        <w:spacing w:after="40"/>
      </w:pPr>
      <w:r>
        <w:t>Smoke-test the live site immediately after.</w:t>
      </w:r>
    </w:p>
    <w:p>
      <w:pPr>
        <w:spacing w:after="80"/>
      </w:pPr>
    </w:p>
    <w:p>
      <w:r>
        <w:rPr>
          <w:b/>
          <w:sz w:val="22"/>
        </w:rPr>
        <w:t xml:space="preserve">22. Data pipeline engineering  </w:t>
      </w:r>
      <w:r>
        <w:rPr>
          <w:b/>
          <w:color w:val="0E454C"/>
          <w:sz w:val="19"/>
        </w:rPr>
        <w:t>— Data Engineer</w:t>
      </w:r>
    </w:p>
    <w:p>
      <w:pPr>
        <w:pStyle w:val="ListNumber"/>
        <w:spacing w:after="40"/>
      </w:pPr>
      <w:r>
        <w:t>Build new ingesters against verified upstream API schemas, never assumed field names.</w:t>
      </w:r>
    </w:p>
    <w:p>
      <w:pPr>
        <w:pStyle w:val="ListNumber"/>
        <w:spacing w:after="40"/>
      </w:pPr>
      <w:r>
        <w:t>Test against a disposable database before wiring into the scheduled job.</w:t>
      </w:r>
    </w:p>
    <w:p>
      <w:pPr>
        <w:pStyle w:val="ListNumber"/>
        <w:spacing w:after="40"/>
      </w:pPr>
      <w:r>
        <w:t>When a source breaks, diagnose against the live upstream API directly.</w:t>
      </w:r>
    </w:p>
    <w:p>
      <w:pPr>
        <w:spacing w:after="80"/>
      </w:pPr>
    </w:p>
    <w:p>
      <w:r>
        <w:rPr>
          <w:b/>
          <w:sz w:val="22"/>
        </w:rPr>
        <w:t xml:space="preserve">23. Security operations &amp; credential management  </w:t>
      </w:r>
      <w:r>
        <w:rPr>
          <w:b/>
          <w:color w:val="0E454C"/>
          <w:sz w:val="19"/>
        </w:rPr>
        <w:t>— Security Engineer</w:t>
      </w:r>
    </w:p>
    <w:p>
      <w:pPr>
        <w:pStyle w:val="ListNumber"/>
        <w:spacing w:after="40"/>
      </w:pPr>
      <w:r>
        <w:t>Maintain TOTP/session secrets in the correct, valid format.</w:t>
      </w:r>
    </w:p>
    <w:p>
      <w:pPr>
        <w:pStyle w:val="ListNumber"/>
        <w:spacing w:after="40"/>
      </w:pPr>
      <w:r>
        <w:t>Rotate credentials on any suspected exposure.</w:t>
      </w:r>
    </w:p>
    <w:p>
      <w:pPr>
        <w:pStyle w:val="ListNumber"/>
        <w:spacing w:after="40"/>
      </w:pPr>
      <w:r>
        <w:t>Review who holds admin access on a set cadence.</w:t>
      </w:r>
    </w:p>
    <w:p>
      <w:pPr>
        <w:spacing w:after="80"/>
      </w:pPr>
    </w:p>
    <w:p>
      <w:r>
        <w:rPr>
          <w:b/>
          <w:sz w:val="22"/>
        </w:rPr>
        <w:t xml:space="preserve">24. Uptime monitoring &amp; on-call  </w:t>
      </w:r>
      <w:r>
        <w:rPr>
          <w:b/>
          <w:color w:val="0E454C"/>
          <w:sz w:val="19"/>
        </w:rPr>
        <w:t>— Site Reliability Engineer</w:t>
      </w:r>
    </w:p>
    <w:p>
      <w:pPr>
        <w:pStyle w:val="ListNumber"/>
        <w:spacing w:after="40"/>
      </w:pPr>
      <w:r>
        <w:t>Monitor for errors and downtime.</w:t>
      </w:r>
    </w:p>
    <w:p>
      <w:pPr>
        <w:pStyle w:val="ListNumber"/>
        <w:spacing w:after="40"/>
      </w:pPr>
      <w:r>
        <w:t>Triage and fix production incidents.</w:t>
      </w:r>
    </w:p>
    <w:p>
      <w:pPr>
        <w:pStyle w:val="ListNumber"/>
        <w:spacing w:after="40"/>
      </w:pPr>
      <w:r>
        <w:t>Document root cause and fix after every incident.</w:t>
      </w:r>
    </w:p>
    <w:p>
      <w:pPr>
        <w:spacing w:after="80"/>
      </w:pPr>
    </w:p>
    <w:p>
      <w:r>
        <w:rPr>
          <w:b/>
          <w:sz w:val="22"/>
        </w:rPr>
        <w:t xml:space="preserve">25. Admin access governance  </w:t>
      </w:r>
      <w:r>
        <w:rPr>
          <w:b/>
          <w:color w:val="0E454C"/>
          <w:sz w:val="19"/>
        </w:rPr>
        <w:t>— Security Engineer</w:t>
      </w:r>
    </w:p>
    <w:p>
      <w:pPr>
        <w:pStyle w:val="ListNumber"/>
        <w:spacing w:after="40"/>
      </w:pPr>
      <w:r>
        <w:t>Maintain the list of who holds admin credentials.</w:t>
      </w:r>
    </w:p>
    <w:p>
      <w:pPr>
        <w:pStyle w:val="ListNumber"/>
        <w:spacing w:after="40"/>
      </w:pPr>
      <w:r>
        <w:t>Revoke access on role change or offboarding.</w:t>
      </w:r>
    </w:p>
    <w:p>
      <w:pPr>
        <w:pStyle w:val="ListNumber"/>
        <w:spacing w:after="40"/>
      </w:pPr>
      <w:r>
        <w:t>Periodically confirm every credential-holder still needs access.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F. User Support &amp; Communications</w:t>
      </w:r>
    </w:p>
    <w:p>
      <w:r>
        <w:rPr>
          <w:i/>
          <w:color w:val="445451"/>
          <w:sz w:val="18"/>
        </w:rPr>
        <w:t>reports to COO</w:t>
      </w:r>
    </w:p>
    <w:p>
      <w:r>
        <w:rPr>
          <w:b/>
          <w:sz w:val="22"/>
        </w:rPr>
        <w:t xml:space="preserve">26. User support / help desk  </w:t>
      </w:r>
      <w:r>
        <w:rPr>
          <w:b/>
          <w:color w:val="0E454C"/>
          <w:sz w:val="19"/>
        </w:rPr>
        <w:t>— Support Specialist</w:t>
      </w:r>
    </w:p>
    <w:p>
      <w:pPr>
        <w:pStyle w:val="ListNumber"/>
        <w:spacing w:after="40"/>
      </w:pPr>
      <w:r>
        <w:t>Triage incoming questions on verification, coverage, and accounts.</w:t>
      </w:r>
    </w:p>
    <w:p>
      <w:pPr>
        <w:pStyle w:val="ListNumber"/>
        <w:spacing w:after="40"/>
      </w:pPr>
      <w:r>
        <w:t>Resolve directly or escalate to Data Ops/Engineering.</w:t>
      </w:r>
    </w:p>
    <w:p>
      <w:pPr>
        <w:pStyle w:val="ListNumber"/>
        <w:spacing w:after="40"/>
      </w:pPr>
      <w:r>
        <w:t>Feed recurring issues back into the product backlog.</w:t>
      </w:r>
    </w:p>
    <w:p>
      <w:pPr>
        <w:spacing w:after="80"/>
      </w:pPr>
    </w:p>
    <w:p>
      <w:r>
        <w:rPr>
          <w:b/>
          <w:sz w:val="22"/>
        </w:rPr>
        <w:t xml:space="preserve">27. Public communications &amp; press  </w:t>
      </w:r>
      <w:r>
        <w:rPr>
          <w:b/>
          <w:color w:val="0E454C"/>
          <w:sz w:val="19"/>
        </w:rPr>
        <w:t>— Communications Specialist</w:t>
      </w:r>
    </w:p>
    <w:p>
      <w:pPr>
        <w:pStyle w:val="ListNumber"/>
        <w:spacing w:after="40"/>
      </w:pPr>
      <w:r>
        <w:t>Maintain accurate public descriptions of what VoteRight does and doesn't do.</w:t>
      </w:r>
    </w:p>
    <w:p>
      <w:pPr>
        <w:pStyle w:val="ListNumber"/>
        <w:spacing w:after="40"/>
      </w:pPr>
      <w:r>
        <w:t>Coordinate with Legal on any sensitive press inquiry.</w:t>
      </w:r>
    </w:p>
    <w:p>
      <w:pPr>
        <w:pStyle w:val="ListNumber"/>
        <w:spacing w:after="40"/>
      </w:pPr>
      <w:r>
        <w:t>Run the social channels.</w:t>
      </w:r>
    </w:p>
    <w:p>
      <w:pPr>
        <w:spacing w:after="80"/>
      </w:pPr>
    </w:p>
    <w:p>
      <w:pPr>
        <w:pStyle w:val="Heading2"/>
      </w:pPr>
      <w:r>
        <w:rPr>
          <w:color w:val="0E454C"/>
        </w:rPr>
        <w:t>G. Leadership &amp; Strategy</w:t>
      </w:r>
    </w:p>
    <w:p>
      <w:r>
        <w:rPr>
          <w:i/>
          <w:color w:val="445451"/>
          <w:sz w:val="18"/>
        </w:rPr>
        <w:t>top of the org</w:t>
      </w:r>
    </w:p>
    <w:p>
      <w:r>
        <w:rPr>
          <w:b/>
          <w:sz w:val="22"/>
        </w:rPr>
        <w:t xml:space="preserve">28. Executive direction &amp; product strategy  </w:t>
      </w:r>
      <w:r>
        <w:rPr>
          <w:b/>
          <w:color w:val="0E454C"/>
          <w:sz w:val="19"/>
        </w:rPr>
        <w:t>— Executive Director</w:t>
      </w:r>
    </w:p>
    <w:p>
      <w:pPr>
        <w:pStyle w:val="ListNumber"/>
        <w:spacing w:after="40"/>
      </w:pPr>
      <w:r>
        <w:t>Set quarterly priorities across every department.</w:t>
      </w:r>
    </w:p>
    <w:p>
      <w:pPr>
        <w:pStyle w:val="ListNumber"/>
        <w:spacing w:after="40"/>
      </w:pPr>
      <w:r>
        <w:t>Review the Operating Register and org chart as the team grows; adjust.</w:t>
      </w:r>
    </w:p>
    <w:p>
      <w:pPr>
        <w:pStyle w:val="ListNumber"/>
        <w:spacing w:after="40"/>
      </w:pPr>
      <w:r>
        <w:t>Make the final call on expansion and feature tradeoffs.</w:t>
      </w:r>
    </w:p>
    <w:p>
      <w:pPr>
        <w:spacing w:after="80"/>
      </w:pPr>
    </w:p>
    <w:p>
      <w:r>
        <w:rPr>
          <w:b/>
          <w:sz w:val="22"/>
        </w:rPr>
        <w:t xml:space="preserve">29. Jurisdiction expansion &amp; partnerships  </w:t>
      </w:r>
      <w:r>
        <w:rPr>
          <w:b/>
          <w:color w:val="0E454C"/>
          <w:sz w:val="19"/>
        </w:rPr>
        <w:t>— Director of Partnerships &amp; Expansion</w:t>
      </w:r>
    </w:p>
    <w:p>
      <w:pPr>
        <w:pStyle w:val="ListNumber"/>
        <w:spacing w:after="40"/>
      </w:pPr>
      <w:r>
        <w:t>Prioritize the next jurisdictions by population and impact criteria.</w:t>
      </w:r>
    </w:p>
    <w:p>
      <w:pPr>
        <w:pStyle w:val="ListNumber"/>
        <w:spacing w:after="40"/>
      </w:pPr>
      <w:r>
        <w:t>Build relationships with local civic organizations in each new market.</w:t>
      </w:r>
    </w:p>
    <w:p>
      <w:pPr>
        <w:pStyle w:val="ListNumber"/>
        <w:spacing w:after="40"/>
      </w:pPr>
      <w:r>
        <w:t>Coordinate the research/seeding timeline with Data Ops.</w:t>
      </w:r>
    </w:p>
    <w:p>
      <w:pPr>
        <w:spacing w:after="80"/>
      </w:pPr>
    </w:p>
    <w:p>
      <w:r>
        <w:rPr>
          <w:b/>
          <w:sz w:val="22"/>
        </w:rPr>
        <w:t xml:space="preserve">30. Fundraising, grants &amp; business development  </w:t>
      </w:r>
      <w:r>
        <w:rPr>
          <w:b/>
          <w:color w:val="0E454C"/>
          <w:sz w:val="19"/>
        </w:rPr>
        <w:t>— Development Director</w:t>
      </w:r>
    </w:p>
    <w:p>
      <w:pPr>
        <w:pStyle w:val="ListNumber"/>
        <w:spacing w:after="40"/>
      </w:pPr>
      <w:r>
        <w:t>Maintain the funder target list and outreach pipeline.</w:t>
      </w:r>
    </w:p>
    <w:p>
      <w:pPr>
        <w:pStyle w:val="ListNumber"/>
        <w:spacing w:after="40"/>
      </w:pPr>
      <w:r>
        <w:t>Write and submit grant applications.</w:t>
      </w:r>
    </w:p>
    <w:p>
      <w:pPr>
        <w:pStyle w:val="ListNumber"/>
        <w:spacing w:after="40"/>
      </w:pPr>
      <w:r>
        <w:t>Report impact metrics back to funders per their requirements.</w:t>
      </w:r>
    </w:p>
    <w:p>
      <w:pPr>
        <w:spacing w:after="80"/>
      </w:pPr>
    </w:p>
    <w:p>
      <w:r>
        <w:rPr>
          <w:b/>
          <w:sz w:val="22"/>
        </w:rPr>
        <w:t xml:space="preserve">31. Finance &amp; operations  </w:t>
      </w:r>
      <w:r>
        <w:rPr>
          <w:b/>
          <w:color w:val="0E454C"/>
          <w:sz w:val="19"/>
        </w:rPr>
        <w:t>— Operations Manager</w:t>
      </w:r>
    </w:p>
    <w:p>
      <w:pPr>
        <w:pStyle w:val="ListNumber"/>
        <w:spacing w:after="40"/>
      </w:pPr>
      <w:r>
        <w:t>Maintain the operating budget against the staffing plan.</w:t>
      </w:r>
    </w:p>
    <w:p>
      <w:pPr>
        <w:pStyle w:val="ListNumber"/>
        <w:spacing w:after="40"/>
      </w:pPr>
      <w:r>
        <w:t>Manage hosting and vendor costs.</w:t>
      </w:r>
    </w:p>
    <w:p>
      <w:pPr>
        <w:pStyle w:val="ListNumber"/>
        <w:spacing w:after="40"/>
      </w:pPr>
      <w:r>
        <w:t>Run payroll once staff exist.</w:t>
      </w:r>
    </w:p>
    <w:p>
      <w:pPr>
        <w:spacing w:after="80"/>
      </w:pPr>
    </w:p>
    <w:p>
      <w:r>
        <w:rPr>
          <w:b/>
          <w:sz w:val="22"/>
        </w:rPr>
        <w:t xml:space="preserve">32. People operations  </w:t>
      </w:r>
      <w:r>
        <w:rPr>
          <w:b/>
          <w:color w:val="0E454C"/>
          <w:sz w:val="19"/>
        </w:rPr>
        <w:t>— HR Generalist</w:t>
      </w:r>
    </w:p>
    <w:p>
      <w:pPr>
        <w:pStyle w:val="ListNumber"/>
        <w:spacing w:after="40"/>
      </w:pPr>
      <w:r>
        <w:t>Hire against the Operating Register's role definitions.</w:t>
      </w:r>
    </w:p>
    <w:p>
      <w:pPr>
        <w:pStyle w:val="ListNumber"/>
        <w:spacing w:after="40"/>
      </w:pPr>
      <w:r>
        <w:t>Onboard new staff with correctly scoped system access.</w:t>
      </w:r>
    </w:p>
    <w:p>
      <w:pPr>
        <w:pStyle w:val="ListNumber"/>
        <w:spacing w:after="40"/>
      </w:pPr>
      <w:r>
        <w:t>Maintain basic HR compliance.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Part II — Role Metrics &amp; Objectives</w:t>
      </w:r>
    </w:p>
    <w:p>
      <w:r>
        <w:rPr>
          <w:color w:val="445451"/>
        </w:rPr>
        <w:t>What each role is actually accountable for — tied to real, measurable things in the product rather than generic KPIs.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</w:tcPr>
          <w:p>
            <w:r>
              <w:rPr>
                <w:b/>
              </w:rPr>
              <w:t>Success metrics / objectives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TOP</w:t>
              <w:br/>
            </w:r>
            <w:r>
              <w:rPr>
                <w:b/>
                <w:sz w:val="20"/>
              </w:rPr>
              <w:t>Executive Director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% of data feeds “fresh” (not stale/failed) across the whole platform</w:t>
            </w:r>
          </w:p>
          <w:p>
            <w:pPr>
              <w:pStyle w:val="ListBullet"/>
            </w:pPr>
            <w:r>
              <w:rPr>
                <w:sz w:val="19"/>
              </w:rPr>
              <w:t>Verified-user growth per active jurisdiction</w:t>
            </w:r>
          </w:p>
          <w:p>
            <w:pPr>
              <w:pStyle w:val="ListBullet"/>
            </w:pPr>
            <w:r>
              <w:rPr>
                <w:sz w:val="19"/>
              </w:rPr>
              <w:t>Zero unresolved legal/compliance incidents</w:t>
            </w:r>
          </w:p>
          <w:p>
            <w:pPr>
              <w:pStyle w:val="ListBullet"/>
            </w:pPr>
            <w:r>
              <w:rPr>
                <w:sz w:val="19"/>
              </w:rPr>
              <w:t>Fundraising pipeline against the Growth &amp; Funding Plan targets</w:t>
            </w:r>
          </w:p>
          <w:p>
            <w:pPr>
              <w:pStyle w:val="ListBullet"/>
            </w:pPr>
            <w:r>
              <w:rPr>
                <w:sz w:val="19"/>
              </w:rPr>
              <w:t>Department budgets within plan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Data Operations Director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% ingestion sources fresh at any given time</w:t>
            </w:r>
          </w:p>
          <w:p>
            <w:pPr>
              <w:pStyle w:val="ListBullet"/>
            </w:pPr>
            <w:r>
              <w:rPr>
                <w:sz w:val="19"/>
              </w:rPr>
              <w:t>Vote→position coding backlog cleared within target SLA</w:t>
            </w:r>
          </w:p>
          <w:p>
            <w:pPr>
              <w:pStyle w:val="ListBullet"/>
            </w:pPr>
            <w:r>
              <w:rPr>
                <w:sz w:val="19"/>
              </w:rPr>
              <w:t>New-jurisdiction seeding cycle time, research to live</w:t>
            </w:r>
          </w:p>
          <w:p>
            <w:pPr>
              <w:pStyle w:val="ListBullet"/>
            </w:pPr>
            <w:r>
              <w:rPr>
                <w:sz w:val="19"/>
              </w:rPr>
              <w:t>Citation coverage rate on integrity-sensitive claims — target 100%</w:t>
            </w:r>
          </w:p>
          <w:p>
            <w:pPr>
              <w:pStyle w:val="ListBullet"/>
            </w:pPr>
            <w:r>
              <w:rPr>
                <w:sz w:val="19"/>
              </w:rPr>
              <w:t>Bias-audit pass rate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LEAD</w:t>
              <w:br/>
            </w:r>
            <w:r>
              <w:rPr>
                <w:b/>
                <w:sz w:val="20"/>
              </w:rPr>
              <w:t>Data Ops Lead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Weekly freshness review completed on schedule, every week</w:t>
            </w:r>
          </w:p>
          <w:p>
            <w:pPr>
              <w:pStyle w:val="ListBullet"/>
            </w:pPr>
            <w:r>
              <w:rPr>
                <w:sz w:val="19"/>
              </w:rPr>
              <w:t>Coding queue cleared within SLA</w:t>
            </w:r>
          </w:p>
          <w:p>
            <w:pPr>
              <w:pStyle w:val="ListBullet"/>
            </w:pPr>
            <w:r>
              <w:rPr>
                <w:sz w:val="19"/>
              </w:rPr>
              <w:t>Zero stale officeholder records past target days of a real-world change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Trust &amp; Safety Director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Median moderation queue resolution time</w:t>
            </w:r>
          </w:p>
          <w:p>
            <w:pPr>
              <w:pStyle w:val="ListBullet"/>
            </w:pPr>
            <w:r>
              <w:rPr>
                <w:sz w:val="19"/>
              </w:rPr>
              <w:t>Median dispute resolution time</w:t>
            </w:r>
          </w:p>
          <w:p>
            <w:pPr>
              <w:pStyle w:val="ListBullet"/>
            </w:pPr>
            <w:r>
              <w:rPr>
                <w:sz w:val="19"/>
              </w:rPr>
              <w:t>False-positive/negative rate on moderation decisions (spot-audited)</w:t>
            </w:r>
          </w:p>
          <w:p>
            <w:pPr>
              <w:pStyle w:val="ListBullet"/>
            </w:pPr>
            <w:r>
              <w:rPr>
                <w:sz w:val="19"/>
              </w:rPr>
              <w:t>Signing-key anomaly response time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LEAD</w:t>
              <w:br/>
            </w:r>
            <w:r>
              <w:rPr>
                <w:b/>
                <w:sz w:val="20"/>
              </w:rPr>
              <w:t>T&amp;S Lead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Queue backlog kept under target size</w:t>
            </w:r>
          </w:p>
          <w:p>
            <w:pPr>
              <w:pStyle w:val="ListBullet"/>
            </w:pPr>
            <w:r>
              <w:rPr>
                <w:sz w:val="19"/>
              </w:rPr>
              <w:t>Zero unreviewed anomaly alerts older than 48 hours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Civic Process Director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% referenda scheduled/certified/published on time</w:t>
            </w:r>
          </w:p>
          <w:p>
            <w:pPr>
              <w:pStyle w:val="ListBullet"/>
            </w:pPr>
            <w:r>
              <w:rPr>
                <w:sz w:val="19"/>
              </w:rPr>
              <w:t>Accountability campaign status sync lag (in-app vs. real-world)</w:t>
            </w:r>
          </w:p>
          <w:p>
            <w:pPr>
              <w:pStyle w:val="ListBullet"/>
            </w:pPr>
            <w:r>
              <w:rPr>
                <w:sz w:val="19"/>
              </w:rPr>
              <w:t>Zero jurisdiction-eligibility errors in voting or campaign support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LEAD</w:t>
              <w:br/>
            </w:r>
            <w:r>
              <w:rPr>
                <w:b/>
                <w:sz w:val="20"/>
              </w:rPr>
              <w:t>Civic Process Lead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Election-cycle/race data current as of each real filing deadline</w:t>
            </w:r>
          </w:p>
          <w:p>
            <w:pPr>
              <w:pStyle w:val="ListBullet"/>
            </w:pPr>
            <w:r>
              <w:rPr>
                <w:sz w:val="19"/>
              </w:rPr>
              <w:t>Zero missed certification or publish windows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COUNSEL</w:t>
              <w:br/>
            </w:r>
            <w:r>
              <w:rPr>
                <w:b/>
                <w:sz w:val="20"/>
              </w:rPr>
              <w:t>General Counsel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100% of privacy requests resolved inside the 45-day MODPA clock</w:t>
            </w:r>
          </w:p>
          <w:p>
            <w:pPr>
              <w:pStyle w:val="ListBullet"/>
            </w:pPr>
            <w:r>
              <w:rPr>
                <w:sz w:val="19"/>
              </w:rPr>
              <w:t>Zero unresolved COUNSEL-REVIEW.md items past their target date</w:t>
            </w:r>
          </w:p>
          <w:p>
            <w:pPr>
              <w:pStyle w:val="ListBullet"/>
            </w:pPr>
            <w:r>
              <w:rPr>
                <w:sz w:val="19"/>
              </w:rPr>
              <w:t>100% of legal-mechanism citations verified before publish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Engineering Director / CTO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Production uptime %</w:t>
            </w:r>
          </w:p>
          <w:p>
            <w:pPr>
              <w:pStyle w:val="ListBullet"/>
            </w:pPr>
            <w:r>
              <w:rPr>
                <w:sz w:val="19"/>
              </w:rPr>
              <w:t>Deploy frequency and lead time</w:t>
            </w:r>
          </w:p>
          <w:p>
            <w:pPr>
              <w:pStyle w:val="ListBullet"/>
            </w:pPr>
            <w:r>
              <w:rPr>
                <w:sz w:val="19"/>
              </w:rPr>
              <w:t>Zero production incidents from unverified/untested changes</w:t>
            </w:r>
          </w:p>
          <w:p>
            <w:pPr>
              <w:pStyle w:val="ListBullet"/>
            </w:pPr>
            <w:r>
              <w:rPr>
                <w:sz w:val="19"/>
              </w:rPr>
              <w:t>Test coverage on eligibility-critical code paths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LEAD</w:t>
              <w:br/>
            </w:r>
            <w:r>
              <w:rPr>
                <w:b/>
                <w:sz w:val="20"/>
              </w:rPr>
              <w:t>Engineering Lead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100% of merged changes pass typecheck, test, and build</w:t>
            </w:r>
          </w:p>
          <w:p>
            <w:pPr>
              <w:pStyle w:val="ListBullet"/>
            </w:pPr>
            <w:r>
              <w:rPr>
                <w:sz w:val="19"/>
              </w:rPr>
              <w:t>Mean time to resolve a production incident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OPS</w:t>
              <w:br/>
            </w:r>
            <w:r>
              <w:rPr>
                <w:b/>
                <w:sz w:val="20"/>
              </w:rPr>
              <w:t>COO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Median support-ticket resolution time</w:t>
            </w:r>
          </w:p>
          <w:p>
            <w:pPr>
              <w:pStyle w:val="ListBullet"/>
            </w:pPr>
            <w:r>
              <w:rPr>
                <w:sz w:val="19"/>
              </w:rPr>
              <w:t>Budget variance against plan</w:t>
            </w:r>
          </w:p>
          <w:p>
            <w:pPr>
              <w:pStyle w:val="ListBullet"/>
            </w:pPr>
            <w:r>
              <w:rPr>
                <w:sz w:val="19"/>
              </w:rPr>
              <w:t>Staff retention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Director of Partnerships &amp; Expansion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New jurisdictions successfully launched per year</w:t>
            </w:r>
          </w:p>
          <w:p>
            <w:pPr>
              <w:pStyle w:val="ListBullet"/>
            </w:pPr>
            <w:r>
              <w:rPr>
                <w:sz w:val="19"/>
              </w:rPr>
              <w:t>Active local civic-org partnerships per jurisdiction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E454C"/>
                <w:sz w:val="15"/>
              </w:rPr>
              <w:t>DIRECTOR</w:t>
              <w:br/>
            </w:r>
            <w:r>
              <w:rPr>
                <w:b/>
                <w:sz w:val="20"/>
              </w:rPr>
              <w:t>Development Director</w:t>
            </w:r>
          </w:p>
        </w:tc>
        <w:tc>
          <w:tcPr>
            <w:tcW w:type="dxa" w:w="6768"/>
          </w:tcPr>
          <w:p>
            <w:pPr>
              <w:pStyle w:val="ListBullet"/>
            </w:pPr>
            <w:r/>
            <w:r>
              <w:rPr>
                <w:sz w:val="19"/>
              </w:rPr>
              <w:t>Funds raised against the annual target</w:t>
            </w:r>
          </w:p>
          <w:p>
            <w:pPr>
              <w:pStyle w:val="ListBullet"/>
            </w:pPr>
            <w:r>
              <w:rPr>
                <w:sz w:val="19"/>
              </w:rPr>
              <w:t>Active funder relationships in pipeline</w:t>
            </w:r>
          </w:p>
          <w:p>
            <w:pPr>
              <w:pStyle w:val="ListBullet"/>
            </w:pPr>
            <w:r>
              <w:rPr>
                <w:sz w:val="19"/>
              </w:rPr>
              <w:t>Grant application win rate</w:t>
            </w:r>
          </w:p>
        </w:tc>
      </w:tr>
    </w:tbl>
    <w:p/>
    <w:p>
      <w:r>
        <w:rPr>
          <w:i/>
          <w:color w:val="445451"/>
          <w:sz w:val="18"/>
        </w:rPr>
        <w:t>Companion to the Operating Register and the Operating Org Chart delivered earlier — same 32 processes, same reporting lines.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