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FORM 1023-EZ PREPARATION WORKSHEET</w:t>
      </w:r>
    </w:p>
    <w:p>
      <w:pPr>
        <w:spacing w:after="400"/>
        <w:jc w:val="center"/>
      </w:pPr>
      <w:r>
        <w:rPr>
          <w:sz w:val="22"/>
          <w:szCs w:val="22"/>
        </w:rPr>
        <w:t xml:space="preserve">VoteRight, Inc. — Streamlined Application for Recognition of Exemption Under Section 501(c)(3)</w:t>
      </w:r>
    </w:p>
    <w:p>
      <w:pPr>
        <w:shd w:fill="F2F2F2" w:val="clear"/>
        <w:spacing w:after="300"/>
      </w:pPr>
      <w:r>
        <w:rPr>
          <w:i/>
          <w:iCs/>
          <w:sz w:val="20"/>
          <w:szCs w:val="20"/>
        </w:rPr>
        <w:t xml:space="preserve">IMPORTANT: Form 1023-EZ is filed electronically only, through Pay.gov (irs.gov/form1023ez). This worksheet is not itself submitted anywhere — it mirrors every field on the form so answers can be copied straight into Pay.gov. Text in red marks items that cannot be completed until a prior step happens (e.g., getting the EIN, filing the Articles).</w:t>
      </w:r>
    </w:p>
    <w:p>
      <w:pPr>
        <w:spacing w:after="160" w:before="320"/>
      </w:pPr>
      <w:r>
        <w:rPr>
          <w:b/>
          <w:bCs/>
          <w:sz w:val="24"/>
          <w:szCs w:val="24"/>
        </w:rPr>
        <w:t xml:space="preserve">Eligibility Attestation</w:t>
      </w:r>
    </w:p>
    <w:p>
      <w:pPr>
        <w:spacing w:after="160"/>
        <w:jc w:val="left"/>
      </w:pPr>
      <w:r>
        <w:rPr>
          <w:b w:val="false"/>
          <w:bCs w:val="false"/>
          <w:i w:val="false"/>
          <w:iCs w:val="false"/>
          <w:sz w:val="22"/>
          <w:szCs w:val="22"/>
        </w:rPr>
        <w:t xml:space="preserve">Box at top of form: “Check this box to attest you completed the Eligibility Worksheet and are eligible to file Form 1023-EZ.” Based on projected receipts under $50,000/year and assets under $250,000, and that VoteRight is not a church, school, hospital, or other excluded organization type — check this box. Confirm current financial projections still fall under these thresholds before filing.</w:t>
      </w:r>
    </w:p>
    <w:p>
      <w:pPr>
        <w:spacing w:after="160" w:before="320"/>
      </w:pPr>
      <w:r>
        <w:rPr>
          <w:b/>
          <w:bCs/>
          <w:sz w:val="24"/>
          <w:szCs w:val="24"/>
        </w:rPr>
        <w:t xml:space="preserve">Part I — Identification of Applicant</w:t>
      </w:r>
    </w:p>
    <w:p>
      <w:pPr>
        <w:spacing w:after="120"/>
      </w:pPr>
      <w:r>
        <w:rPr>
          <w:b/>
          <w:bCs/>
          <w:sz w:val="22"/>
          <w:szCs w:val="22"/>
        </w:rPr>
        <w:t xml:space="preserve">1a. Full Name of Organization: </w:t>
      </w:r>
      <w:r>
        <w:rPr>
          <w:b w:val="false"/>
          <w:bCs w:val="false"/>
          <w:color w:val="000000"/>
          <w:sz w:val="22"/>
          <w:szCs w:val="22"/>
        </w:rPr>
        <w:t xml:space="preserve">VoteRight, Inc.</w:t>
      </w:r>
    </w:p>
    <w:p>
      <w:pPr>
        <w:spacing w:after="120"/>
      </w:pPr>
      <w:r>
        <w:rPr>
          <w:b/>
          <w:bCs/>
          <w:sz w:val="22"/>
          <w:szCs w:val="22"/>
        </w:rPr>
        <w:t xml:space="preserve">1b–e. Address: </w:t>
      </w:r>
      <w:r>
        <w:rPr>
          <w:b/>
          <w:bCs/>
          <w:color w:val="C00000"/>
          <w:sz w:val="22"/>
          <w:szCs w:val="22"/>
        </w:rPr>
        <w:t xml:space="preserve">35 Mirrasou Lane, Gaithersburg, MD [TBD — ZIP+4 — add the 4-digit extension if known, or leave as 20878]</w:t>
      </w:r>
    </w:p>
    <w:p>
      <w:pPr>
        <w:spacing w:after="120"/>
      </w:pPr>
      <w:r>
        <w:rPr>
          <w:b/>
          <w:bCs/>
          <w:sz w:val="22"/>
          <w:szCs w:val="22"/>
        </w:rPr>
        <w:t xml:space="preserve">2. Employer Identification Number (EIN): </w:t>
      </w:r>
      <w:r>
        <w:rPr>
          <w:b/>
          <w:bCs/>
          <w:color w:val="C00000"/>
          <w:sz w:val="22"/>
          <w:szCs w:val="22"/>
        </w:rPr>
        <w:t xml:space="preserve">[TBD — apply at IRS.gov/EIN after the Articles are filed — free, instant online]</w:t>
      </w:r>
    </w:p>
    <w:p>
      <w:pPr>
        <w:spacing w:after="120"/>
      </w:pPr>
      <w:r>
        <w:rPr>
          <w:b/>
          <w:bCs/>
          <w:sz w:val="22"/>
          <w:szCs w:val="22"/>
        </w:rPr>
        <w:t xml:space="preserve">3. Month Tax Year Ends: </w:t>
      </w:r>
      <w:r>
        <w:rPr>
          <w:b w:val="false"/>
          <w:bCs w:val="false"/>
          <w:color w:val="000000"/>
          <w:sz w:val="22"/>
          <w:szCs w:val="22"/>
        </w:rPr>
        <w:t xml:space="preserve">12 (December, per the Bylaws fiscal year)</w:t>
      </w:r>
    </w:p>
    <w:p>
      <w:pPr>
        <w:spacing w:after="120"/>
      </w:pPr>
      <w:r>
        <w:rPr>
          <w:b/>
          <w:bCs/>
          <w:sz w:val="22"/>
          <w:szCs w:val="22"/>
        </w:rPr>
        <w:t xml:space="preserve">4. Person to Contact: </w:t>
      </w:r>
      <w:r>
        <w:rPr>
          <w:b w:val="false"/>
          <w:bCs w:val="false"/>
          <w:color w:val="000000"/>
          <w:sz w:val="22"/>
          <w:szCs w:val="22"/>
        </w:rPr>
        <w:t xml:space="preserve">Pascal Passigan</w:t>
      </w:r>
    </w:p>
    <w:p>
      <w:pPr>
        <w:spacing w:after="120"/>
      </w:pPr>
      <w:r>
        <w:rPr>
          <w:b/>
          <w:bCs/>
          <w:sz w:val="22"/>
          <w:szCs w:val="22"/>
        </w:rPr>
        <w:t xml:space="preserve">5. Contact Telephone Number: </w:t>
      </w:r>
      <w:r>
        <w:rPr>
          <w:b/>
          <w:bCs/>
          <w:color w:val="C00000"/>
          <w:sz w:val="22"/>
          <w:szCs w:val="22"/>
        </w:rPr>
        <w:t xml:space="preserve">[TBD — your phone number]</w:t>
      </w:r>
    </w:p>
    <w:p>
      <w:pPr>
        <w:spacing w:after="120"/>
      </w:pPr>
      <w:r>
        <w:rPr>
          <w:b/>
          <w:bCs/>
          <w:sz w:val="22"/>
          <w:szCs w:val="22"/>
        </w:rPr>
        <w:t xml:space="preserve">6. Fax Number (optional): </w:t>
      </w:r>
      <w:r>
        <w:rPr>
          <w:b w:val="false"/>
          <w:bCs w:val="false"/>
          <w:color w:val="000000"/>
          <w:sz w:val="22"/>
          <w:szCs w:val="22"/>
        </w:rPr>
        <w:t xml:space="preserve">(leave blank)</w:t>
      </w:r>
    </w:p>
    <w:p>
      <w:pPr>
        <w:spacing w:after="120"/>
      </w:pPr>
      <w:r>
        <w:rPr>
          <w:b/>
          <w:bCs/>
          <w:sz w:val="22"/>
          <w:szCs w:val="22"/>
        </w:rPr>
        <w:t xml:space="preserve">7. User Fee Submitted: </w:t>
      </w:r>
      <w:r>
        <w:rPr>
          <w:b w:val="false"/>
          <w:bCs w:val="false"/>
          <w:color w:val="000000"/>
          <w:sz w:val="22"/>
          <w:szCs w:val="22"/>
        </w:rPr>
        <w:t xml:space="preserve">$275.00 (paid via Pay.gov at time of filing)</w:t>
      </w:r>
    </w:p>
    <w:p>
      <w:pPr>
        <w:spacing w:after="160"/>
        <w:jc w:val="left"/>
      </w:pPr>
      <w:r>
        <w:rPr>
          <w:b/>
          <w:bCs/>
          <w:i w:val="false"/>
          <w:iCs w:val="false"/>
          <w:sz w:val="22"/>
          <w:szCs w:val="22"/>
        </w:rPr>
        <w:t xml:space="preserve">8. Officers, Directors, and/or Trustees:</w:t>
      </w:r>
    </w:p>
    <w:p>
      <w:pPr>
        <w:spacing w:after="160"/>
        <w:jc w:val="left"/>
      </w:pPr>
      <w:r>
        <w:rPr>
          <w:b w:val="false"/>
          <w:bCs w:val="false"/>
          <w:i w:val="false"/>
          <w:iCs w:val="false"/>
          <w:sz w:val="22"/>
          <w:szCs w:val="22"/>
        </w:rPr>
        <w:t xml:space="preserve">First Name: Pascal   Last Name: Passigan   Title: President, Secretary, and Treasurer</w:t>
      </w:r>
    </w:p>
    <w:p>
      <w:pPr>
        <w:spacing w:after="160"/>
        <w:jc w:val="left"/>
      </w:pPr>
      <w:r>
        <w:rPr>
          <w:b w:val="false"/>
          <w:bCs w:val="false"/>
          <w:i w:val="false"/>
          <w:iCs w:val="false"/>
          <w:sz w:val="22"/>
          <w:szCs w:val="22"/>
        </w:rPr>
        <w:t xml:space="preserve">Street Address: 35 Mirrasou Lane   City: Gaithersburg   State: MD   Zip: 20878</w:t>
      </w:r>
    </w:p>
    <w:p>
      <w:pPr>
        <w:spacing w:after="120"/>
      </w:pPr>
      <w:r>
        <w:rPr>
          <w:b/>
          <w:bCs/>
          <w:sz w:val="22"/>
          <w:szCs w:val="22"/>
        </w:rPr>
        <w:t xml:space="preserve">9a. Organization's Website: </w:t>
      </w:r>
      <w:r>
        <w:rPr>
          <w:b w:val="false"/>
          <w:bCs w:val="false"/>
          <w:color w:val="000000"/>
          <w:sz w:val="22"/>
          <w:szCs w:val="22"/>
        </w:rPr>
        <w:t xml:space="preserve">[TBD — if VoteRight has a public URL you want listed; optional]</w:t>
      </w:r>
    </w:p>
    <w:p>
      <w:pPr>
        <w:spacing w:after="120"/>
      </w:pPr>
      <w:r>
        <w:rPr>
          <w:b/>
          <w:bCs/>
          <w:sz w:val="22"/>
          <w:szCs w:val="22"/>
        </w:rPr>
        <w:t xml:space="preserve">9b. Organization's Email (optional): </w:t>
      </w:r>
      <w:r>
        <w:rPr>
          <w:b w:val="false"/>
          <w:bCs w:val="false"/>
          <w:color w:val="000000"/>
          <w:sz w:val="22"/>
          <w:szCs w:val="22"/>
        </w:rPr>
        <w:t xml:space="preserve">[TBD — optional]</w:t>
      </w:r>
    </w:p>
    <w:p>
      <w:pPr>
        <w:spacing w:after="160" w:before="320"/>
      </w:pPr>
      <w:r>
        <w:rPr>
          <w:b/>
          <w:bCs/>
          <w:sz w:val="24"/>
          <w:szCs w:val="24"/>
        </w:rPr>
        <w:t xml:space="preserve">Part II — Organizational Structure</w:t>
      </w:r>
    </w:p>
    <w:p>
      <w:pPr>
        <w:spacing w:after="120"/>
      </w:pPr>
      <w:r>
        <w:rPr>
          <w:b/>
          <w:bCs/>
          <w:sz w:val="22"/>
          <w:szCs w:val="22"/>
        </w:rPr>
        <w:t xml:space="preserve">1. Organization Type: </w:t>
      </w:r>
      <w:r>
        <w:rPr>
          <w:b w:val="false"/>
          <w:bCs w:val="false"/>
          <w:color w:val="000000"/>
          <w:sz w:val="22"/>
          <w:szCs w:val="22"/>
        </w:rPr>
        <w:t xml:space="preserve">Corporation</w:t>
      </w:r>
    </w:p>
    <w:p>
      <w:pPr>
        <w:spacing w:after="120"/>
      </w:pPr>
      <w:r>
        <w:rPr>
          <w:b/>
          <w:bCs/>
          <w:sz w:val="22"/>
          <w:szCs w:val="22"/>
        </w:rPr>
        <w:t xml:space="preserve">2. Attest you have the organizing document: </w:t>
      </w:r>
      <w:r>
        <w:rPr>
          <w:b w:val="false"/>
          <w:bCs w:val="false"/>
          <w:color w:val="000000"/>
          <w:sz w:val="22"/>
          <w:szCs w:val="22"/>
        </w:rPr>
        <w:t xml:space="preserve">Yes — satisfied by the Articles of Incorporation</w:t>
      </w:r>
    </w:p>
    <w:p>
      <w:pPr>
        <w:spacing w:after="120"/>
      </w:pPr>
      <w:r>
        <w:rPr>
          <w:b/>
          <w:bCs/>
          <w:sz w:val="22"/>
          <w:szCs w:val="22"/>
        </w:rPr>
        <w:t xml:space="preserve">3. Date Incorporated: </w:t>
      </w:r>
      <w:r>
        <w:rPr>
          <w:b/>
          <w:bCs/>
          <w:color w:val="C00000"/>
          <w:sz w:val="22"/>
          <w:szCs w:val="22"/>
        </w:rPr>
        <w:t xml:space="preserve">[TBD — fill in with the SDAT acceptance/filing date once the Articles are filed]</w:t>
      </w:r>
    </w:p>
    <w:p>
      <w:pPr>
        <w:spacing w:after="120"/>
      </w:pPr>
      <w:r>
        <w:rPr>
          <w:b/>
          <w:bCs/>
          <w:sz w:val="22"/>
          <w:szCs w:val="22"/>
        </w:rPr>
        <w:t xml:space="preserve">4. State of Incorporation: </w:t>
      </w:r>
      <w:r>
        <w:rPr>
          <w:b w:val="false"/>
          <w:bCs w:val="false"/>
          <w:color w:val="000000"/>
          <w:sz w:val="22"/>
          <w:szCs w:val="22"/>
        </w:rPr>
        <w:t xml:space="preserve">Maryland</w:t>
      </w:r>
    </w:p>
    <w:p>
      <w:pPr>
        <w:spacing w:after="120"/>
      </w:pPr>
      <w:r>
        <w:rPr>
          <w:b/>
          <w:bCs/>
          <w:sz w:val="22"/>
          <w:szCs w:val="22"/>
        </w:rPr>
        <w:t xml:space="preserve">5. Purpose limitation attestation: </w:t>
      </w:r>
      <w:r>
        <w:rPr>
          <w:b w:val="false"/>
          <w:bCs w:val="false"/>
          <w:color w:val="000000"/>
          <w:sz w:val="22"/>
          <w:szCs w:val="22"/>
        </w:rPr>
        <w:t xml:space="preserve">Yes — Article SECOND of the Articles limits purposes to 501(c)(3) exempt purposes</w:t>
      </w:r>
    </w:p>
    <w:p>
      <w:pPr>
        <w:spacing w:after="120"/>
      </w:pPr>
      <w:r>
        <w:rPr>
          <w:b/>
          <w:bCs/>
          <w:sz w:val="22"/>
          <w:szCs w:val="22"/>
        </w:rPr>
        <w:t xml:space="preserve">6. No non-exempt empowerment attestation: </w:t>
      </w:r>
      <w:r>
        <w:rPr>
          <w:b w:val="false"/>
          <w:bCs w:val="false"/>
          <w:color w:val="000000"/>
          <w:sz w:val="22"/>
          <w:szCs w:val="22"/>
        </w:rPr>
        <w:t xml:space="preserve">Yes — the Articles do not empower non-exempt activity beyond an insubstantial part</w:t>
      </w:r>
    </w:p>
    <w:p>
      <w:pPr>
        <w:spacing w:after="120"/>
      </w:pPr>
      <w:r>
        <w:rPr>
          <w:b/>
          <w:bCs/>
          <w:sz w:val="22"/>
          <w:szCs w:val="22"/>
        </w:rPr>
        <w:t xml:space="preserve">7. Dissolution provision attestation: </w:t>
      </w:r>
      <w:r>
        <w:rPr>
          <w:b w:val="false"/>
          <w:bCs w:val="false"/>
          <w:color w:val="000000"/>
          <w:sz w:val="22"/>
          <w:szCs w:val="22"/>
        </w:rPr>
        <w:t xml:space="preserve">Yes — satisfied by Article EIGHTH of the Articles</w:t>
      </w:r>
    </w:p>
    <w:p>
      <w:pPr>
        <w:spacing w:after="160" w:before="320"/>
      </w:pPr>
      <w:r>
        <w:rPr>
          <w:b/>
          <w:bCs/>
          <w:sz w:val="24"/>
          <w:szCs w:val="24"/>
        </w:rPr>
        <w:t xml:space="preserve">Part III — Your Specific Activities</w:t>
      </w:r>
    </w:p>
    <w:p>
      <w:pPr>
        <w:spacing w:after="120"/>
      </w:pPr>
      <w:r>
        <w:rPr>
          <w:b/>
          <w:bCs/>
          <w:sz w:val="22"/>
          <w:szCs w:val="22"/>
        </w:rPr>
        <w:t xml:space="preserve">1. NTEE Code: </w:t>
      </w:r>
      <w:r>
        <w:rPr>
          <w:b w:val="false"/>
          <w:bCs w:val="false"/>
          <w:color w:val="000000"/>
          <w:sz w:val="22"/>
          <w:szCs w:val="22"/>
        </w:rPr>
        <w:t xml:space="preserve">R40 — Voter Education, Registration (Civil Rights, Social Action, Advocacy category; used by comparable organizations such as Rock the Vote)</w:t>
      </w:r>
    </w:p>
    <w:p>
      <w:pPr>
        <w:spacing w:after="120"/>
      </w:pPr>
      <w:r>
        <w:rPr>
          <w:b/>
          <w:bCs/>
          <w:sz w:val="22"/>
          <w:szCs w:val="22"/>
        </w:rPr>
        <w:t xml:space="preserve">2. Exempt Purpose(s): </w:t>
      </w:r>
      <w:r>
        <w:rPr>
          <w:b w:val="false"/>
          <w:bCs w:val="false"/>
          <w:color w:val="000000"/>
          <w:sz w:val="22"/>
          <w:szCs w:val="22"/>
        </w:rPr>
        <w:t xml:space="preserve">Educational (check this box; also reasonable to check Charitable)</w:t>
      </w:r>
    </w:p>
    <w:p>
      <w:pPr>
        <w:spacing w:after="120"/>
      </w:pPr>
      <w:r>
        <w:rPr>
          <w:b/>
          <w:bCs/>
          <w:sz w:val="22"/>
          <w:szCs w:val="22"/>
        </w:rPr>
        <w:t xml:space="preserve">3. Prohibited/restricted activities attestation: </w:t>
      </w:r>
      <w:r>
        <w:rPr>
          <w:b w:val="false"/>
          <w:bCs w:val="false"/>
          <w:color w:val="000000"/>
          <w:sz w:val="22"/>
          <w:szCs w:val="22"/>
        </w:rPr>
        <w:t xml:space="preserve">Yes — consistent with the nonpartisan design described in the Statement of Activities</w:t>
      </w:r>
    </w:p>
    <w:p>
      <w:pPr>
        <w:spacing w:after="120"/>
      </w:pPr>
      <w:r>
        <w:rPr>
          <w:b/>
          <w:bCs/>
          <w:sz w:val="22"/>
          <w:szCs w:val="22"/>
        </w:rPr>
        <w:t xml:space="preserve">4. Attempt to influence legislation?: </w:t>
      </w:r>
      <w:r>
        <w:rPr>
          <w:b w:val="false"/>
          <w:bCs w:val="false"/>
          <w:color w:val="000000"/>
          <w:sz w:val="22"/>
          <w:szCs w:val="22"/>
        </w:rPr>
        <w:t xml:space="preserve">No</w:t>
      </w:r>
    </w:p>
    <w:p>
      <w:pPr>
        <w:spacing w:after="120"/>
      </w:pPr>
      <w:r>
        <w:rPr>
          <w:b/>
          <w:bCs/>
          <w:sz w:val="22"/>
          <w:szCs w:val="22"/>
        </w:rPr>
        <w:t xml:space="preserve">5. Compensation to officers/directors/trustees?: </w:t>
      </w:r>
      <w:r>
        <w:rPr>
          <w:b w:val="false"/>
          <w:bCs w:val="false"/>
          <w:color w:val="000000"/>
          <w:sz w:val="22"/>
          <w:szCs w:val="22"/>
        </w:rPr>
        <w:t xml:space="preserve">No, not at this stage (revisit if this changes before filing)</w:t>
      </w:r>
    </w:p>
    <w:p>
      <w:pPr>
        <w:spacing w:after="120"/>
      </w:pPr>
      <w:r>
        <w:rPr>
          <w:b/>
          <w:bCs/>
          <w:sz w:val="22"/>
          <w:szCs w:val="22"/>
        </w:rPr>
        <w:t xml:space="preserve">6. Donate funds or pay expenses for individuals?: </w:t>
      </w:r>
      <w:r>
        <w:rPr>
          <w:b w:val="false"/>
          <w:bCs w:val="false"/>
          <w:color w:val="000000"/>
          <w:sz w:val="22"/>
          <w:szCs w:val="22"/>
        </w:rPr>
        <w:t xml:space="preserve">No</w:t>
      </w:r>
    </w:p>
    <w:p>
      <w:pPr>
        <w:spacing w:after="120"/>
      </w:pPr>
      <w:r>
        <w:rPr>
          <w:b/>
          <w:bCs/>
          <w:sz w:val="22"/>
          <w:szCs w:val="22"/>
        </w:rPr>
        <w:t xml:space="preserve">7. Activities or grants outside the United States?: </w:t>
      </w:r>
      <w:r>
        <w:rPr>
          <w:b w:val="false"/>
          <w:bCs w:val="false"/>
          <w:color w:val="000000"/>
          <w:sz w:val="22"/>
          <w:szCs w:val="22"/>
        </w:rPr>
        <w:t xml:space="preserve">No</w:t>
      </w:r>
    </w:p>
    <w:p>
      <w:pPr>
        <w:spacing w:after="120"/>
      </w:pPr>
      <w:r>
        <w:rPr>
          <w:b/>
          <w:bCs/>
          <w:sz w:val="22"/>
          <w:szCs w:val="22"/>
        </w:rPr>
        <w:t xml:space="preserve">8. Financial transactions with officers/directors/trustees or entities they control?: </w:t>
      </w:r>
      <w:r>
        <w:rPr>
          <w:b w:val="false"/>
          <w:bCs w:val="false"/>
          <w:color w:val="000000"/>
          <w:sz w:val="22"/>
          <w:szCs w:val="22"/>
        </w:rPr>
        <w:t xml:space="preserve">No</w:t>
      </w:r>
    </w:p>
    <w:p>
      <w:pPr>
        <w:spacing w:after="120"/>
      </w:pPr>
      <w:r>
        <w:rPr>
          <w:b/>
          <w:bCs/>
          <w:sz w:val="22"/>
          <w:szCs w:val="22"/>
        </w:rPr>
        <w:t xml:space="preserve">9. Unrelated business gross income of $1,000+?: </w:t>
      </w:r>
      <w:r>
        <w:rPr>
          <w:b w:val="false"/>
          <w:bCs w:val="false"/>
          <w:color w:val="000000"/>
          <w:sz w:val="22"/>
          <w:szCs w:val="22"/>
        </w:rPr>
        <w:t xml:space="preserve">No</w:t>
      </w:r>
    </w:p>
    <w:p>
      <w:pPr>
        <w:spacing w:after="120"/>
      </w:pPr>
      <w:r>
        <w:rPr>
          <w:b/>
          <w:bCs/>
          <w:sz w:val="22"/>
          <w:szCs w:val="22"/>
        </w:rPr>
        <w:t xml:space="preserve">10. Operate bingo or other gaming activities?: </w:t>
      </w:r>
      <w:r>
        <w:rPr>
          <w:b w:val="false"/>
          <w:bCs w:val="false"/>
          <w:color w:val="000000"/>
          <w:sz w:val="22"/>
          <w:szCs w:val="22"/>
        </w:rPr>
        <w:t xml:space="preserve">No</w:t>
      </w:r>
    </w:p>
    <w:p>
      <w:pPr>
        <w:spacing w:after="120"/>
      </w:pPr>
      <w:r>
        <w:rPr>
          <w:b/>
          <w:bCs/>
          <w:sz w:val="22"/>
          <w:szCs w:val="22"/>
        </w:rPr>
        <w:t xml:space="preserve">11. Provide disaster relief?: </w:t>
      </w:r>
      <w:r>
        <w:rPr>
          <w:b w:val="false"/>
          <w:bCs w:val="false"/>
          <w:color w:val="000000"/>
          <w:sz w:val="22"/>
          <w:szCs w:val="22"/>
        </w:rPr>
        <w:t xml:space="preserve">No</w:t>
      </w:r>
    </w:p>
    <w:p>
      <w:pPr>
        <w:spacing w:after="160" w:before="320"/>
      </w:pPr>
      <w:r>
        <w:rPr>
          <w:b/>
          <w:bCs/>
          <w:sz w:val="24"/>
          <w:szCs w:val="24"/>
        </w:rPr>
        <w:t xml:space="preserve">Part IV — Foundation Classification</w:t>
      </w:r>
    </w:p>
    <w:p>
      <w:pPr>
        <w:spacing w:after="160"/>
        <w:jc w:val="left"/>
      </w:pPr>
      <w:r>
        <w:rPr>
          <w:b w:val="false"/>
          <w:bCs w:val="false"/>
          <w:i w:val="false"/>
          <w:iCs w:val="false"/>
          <w:sz w:val="22"/>
          <w:szCs w:val="22"/>
        </w:rPr>
        <w:t xml:space="preserve">Most new, small public-facing nonprofits like VoteRight qualify under 1a or 1b. Because VoteRight expects to be funded primarily by individual donations (and possibly grants) rather than fees for services, 1a is typically the better fit — confirm against actual funding sources once established:</w:t>
      </w:r>
    </w:p>
    <w:p>
      <w:pPr>
        <w:spacing w:after="120"/>
      </w:pPr>
      <w:r>
        <w:rPr>
          <w:b/>
          <w:bCs/>
          <w:sz w:val="22"/>
          <w:szCs w:val="22"/>
        </w:rPr>
        <w:t xml:space="preserve">1a.: </w:t>
      </w:r>
      <w:r>
        <w:rPr>
          <w:b w:val="false"/>
          <w:bCs w:val="false"/>
          <w:color w:val="000000"/>
          <w:sz w:val="22"/>
          <w:szCs w:val="22"/>
        </w:rPr>
        <w:t xml:space="preserve">Check this box — publicly supported organization under sections 509(a)(1) and 170(b)(1)(A)(vi) (recommended default for a donation-funded civic nonprofit)</w:t>
      </w:r>
    </w:p>
    <w:p>
      <w:pPr>
        <w:spacing w:after="160"/>
        <w:jc w:val="left"/>
      </w:pPr>
      <w:r>
        <w:rPr>
          <w:b w:val="false"/>
          <w:bCs w:val="false"/>
          <w:i w:val="false"/>
          <w:iCs w:val="false"/>
          <w:sz w:val="22"/>
          <w:szCs w:val="22"/>
        </w:rPr>
        <w:t xml:space="preserve">If VoteRight instead expects most revenue from program-service-like fees, consider 1b (509(a)(2)) instead. This determination affects future public-support test filings, so revisit with counsel or an accountant if funding sources are unclear.</w:t>
      </w:r>
    </w:p>
    <w:p>
      <w:pPr>
        <w:spacing w:after="160" w:before="320"/>
      </w:pPr>
      <w:r>
        <w:rPr>
          <w:b/>
          <w:bCs/>
          <w:sz w:val="24"/>
          <w:szCs w:val="24"/>
        </w:rPr>
        <w:t xml:space="preserve">Part V — Reinstatement After Automatic Revocation</w:t>
      </w:r>
    </w:p>
    <w:p>
      <w:pPr>
        <w:spacing w:after="160"/>
        <w:jc w:val="left"/>
      </w:pPr>
      <w:r>
        <w:rPr>
          <w:b w:val="false"/>
          <w:bCs w:val="false"/>
          <w:i w:val="false"/>
          <w:iCs w:val="false"/>
          <w:sz w:val="22"/>
          <w:szCs w:val="22"/>
        </w:rPr>
        <w:t xml:space="preserve">Not applicable — VoteRight is a new organization, not seeking reinstatement. Leave blank.</w:t>
      </w:r>
    </w:p>
    <w:p>
      <w:pPr>
        <w:spacing w:after="160" w:before="320"/>
      </w:pPr>
      <w:r>
        <w:rPr>
          <w:b/>
          <w:bCs/>
          <w:sz w:val="24"/>
          <w:szCs w:val="24"/>
        </w:rPr>
        <w:t xml:space="preserve">Part VI — Signature</w:t>
      </w:r>
    </w:p>
    <w:p>
      <w:pPr>
        <w:spacing w:after="120"/>
      </w:pPr>
      <w:r>
        <w:rPr>
          <w:b/>
          <w:bCs/>
          <w:sz w:val="22"/>
          <w:szCs w:val="22"/>
        </w:rPr>
        <w:t xml:space="preserve">Type name of signer: </w:t>
      </w:r>
      <w:r>
        <w:rPr>
          <w:b w:val="false"/>
          <w:bCs w:val="false"/>
          <w:color w:val="000000"/>
          <w:sz w:val="22"/>
          <w:szCs w:val="22"/>
        </w:rPr>
        <w:t xml:space="preserve">Pascal Passigan</w:t>
      </w:r>
    </w:p>
    <w:p>
      <w:pPr>
        <w:spacing w:after="120"/>
      </w:pPr>
      <w:r>
        <w:rPr>
          <w:b/>
          <w:bCs/>
          <w:sz w:val="22"/>
          <w:szCs w:val="22"/>
        </w:rPr>
        <w:t xml:space="preserve">Type title of signer: </w:t>
      </w:r>
      <w:r>
        <w:rPr>
          <w:b w:val="false"/>
          <w:bCs w:val="false"/>
          <w:color w:val="000000"/>
          <w:sz w:val="22"/>
          <w:szCs w:val="22"/>
        </w:rPr>
        <w:t xml:space="preserve">President</w:t>
      </w:r>
    </w:p>
    <w:p>
      <w:pPr>
        <w:spacing w:after="160"/>
        <w:jc w:val="left"/>
      </w:pPr>
      <w:r>
        <w:rPr>
          <w:b w:val="false"/>
          <w:bCs w:val="false"/>
          <w:i w:val="false"/>
          <w:iCs w:val="false"/>
          <w:sz w:val="22"/>
          <w:szCs w:val="22"/>
        </w:rPr>
        <w:t xml:space="preserve">Signed electronically upon submission through Pay.gov, under penalties of perjury, attesting the application is true, correct, and complete.</w:t>
      </w:r>
    </w:p>
    <w:p>
      <w:pPr>
        <w:spacing w:after="160" w:before="320"/>
      </w:pPr>
      <w:r>
        <w:rPr>
          <w:b/>
          <w:bCs/>
          <w:sz w:val="24"/>
          <w:szCs w:val="24"/>
        </w:rPr>
        <w:t xml:space="preserve">Before You File — Checklist</w:t>
      </w:r>
    </w:p>
    <w:p>
      <w:pPr>
        <w:pStyle w:val="ListParagraph"/>
        <w:numPr>
          <w:ilvl w:val="0"/>
          <w:numId w:val="2"/>
        </w:numPr>
        <w:spacing w:after="100"/>
      </w:pPr>
      <w:r>
        <w:rPr>
          <w:sz w:val="22"/>
          <w:szCs w:val="22"/>
        </w:rPr>
        <w:t xml:space="preserve">File the Articles of Incorporation with SDAT and receive confirmation of the filing date.</w:t>
      </w:r>
    </w:p>
    <w:p>
      <w:pPr>
        <w:pStyle w:val="ListParagraph"/>
        <w:numPr>
          <w:ilvl w:val="0"/>
          <w:numId w:val="2"/>
        </w:numPr>
        <w:spacing w:after="100"/>
      </w:pPr>
      <w:r>
        <w:rPr>
          <w:sz w:val="22"/>
          <w:szCs w:val="22"/>
        </w:rPr>
        <w:t xml:space="preserve">Apply for an EIN at IRS.gov/EIN (free, immediate).</w:t>
      </w:r>
    </w:p>
    <w:p>
      <w:pPr>
        <w:pStyle w:val="ListParagraph"/>
        <w:numPr>
          <w:ilvl w:val="0"/>
          <w:numId w:val="2"/>
        </w:numPr>
        <w:spacing w:after="100"/>
      </w:pPr>
      <w:r>
        <w:rPr>
          <w:sz w:val="22"/>
          <w:szCs w:val="22"/>
        </w:rPr>
        <w:t xml:space="preserve">Confirm a contact phone number to list on the form.</w:t>
      </w:r>
    </w:p>
    <w:p>
      <w:pPr>
        <w:pStyle w:val="ListParagraph"/>
        <w:numPr>
          <w:ilvl w:val="0"/>
          <w:numId w:val="2"/>
        </w:numPr>
        <w:spacing w:after="100"/>
      </w:pPr>
      <w:r>
        <w:rPr>
          <w:sz w:val="22"/>
          <w:szCs w:val="22"/>
        </w:rPr>
        <w:t xml:space="preserve">Re-confirm projected gross receipts stay under $50,000/year and assets under $250,000 — required for 1023-EZ eligibility.</w:t>
      </w:r>
    </w:p>
    <w:p>
      <w:pPr>
        <w:pStyle w:val="ListParagraph"/>
        <w:numPr>
          <w:ilvl w:val="0"/>
          <w:numId w:val="2"/>
        </w:numPr>
        <w:spacing w:after="100"/>
      </w:pPr>
      <w:r>
        <w:rPr>
          <w:sz w:val="22"/>
          <w:szCs w:val="22"/>
        </w:rPr>
        <w:t xml:space="preserve">Have a payment method ready for the $275 Pay.gov user fee.</w:t>
      </w:r>
    </w:p>
    <w:p>
      <w:pPr>
        <w:pStyle w:val="ListParagraph"/>
        <w:numPr>
          <w:ilvl w:val="0"/>
          <w:numId w:val="2"/>
        </w:numPr>
        <w:spacing w:after="100"/>
      </w:pPr>
      <w:r>
        <w:rPr>
          <w:sz w:val="22"/>
          <w:szCs w:val="22"/>
        </w:rPr>
        <w:t xml:space="preserve">Keep the Statement of Activities on file — not submitted with Form 1023-EZ, but the IRS can request it, and it documents the basis for the attestations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2026-07-29T17:17:51.776Z</dcterms:created>
  <dcterms:modified xsi:type="dcterms:W3CDTF">2026-07-29T17:17:51.942Z</dcterms:modified>
</cp:coreProperties>
</file>

<file path=docProps/custom.xml><?xml version="1.0" encoding="utf-8"?>
<Properties xmlns="http://schemas.openxmlformats.org/officeDocument/2006/custom-properties" xmlns:vt="http://schemas.openxmlformats.org/officeDocument/2006/docPropsVTypes"/>
</file>