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876612" w14:textId="454A422A" w:rsidR="00D776C5" w:rsidRPr="00D1166C" w:rsidRDefault="00D776C5" w:rsidP="00D1166C">
      <w:pPr>
        <w:rPr>
          <w:b/>
        </w:rPr>
      </w:pPr>
      <w:proofErr w:type="spellStart"/>
      <w:r w:rsidRPr="00D1166C">
        <w:rPr>
          <w:b/>
        </w:rPr>
        <w:t>Aneuvis</w:t>
      </w:r>
      <w:proofErr w:type="spellEnd"/>
      <w:r w:rsidRPr="00D1166C">
        <w:rPr>
          <w:b/>
        </w:rPr>
        <w:t xml:space="preserve">: </w:t>
      </w:r>
      <w:r w:rsidR="003B0273" w:rsidRPr="00D1166C">
        <w:rPr>
          <w:b/>
        </w:rPr>
        <w:t xml:space="preserve">Reproducible </w:t>
      </w:r>
      <w:r w:rsidR="006D1AC6" w:rsidRPr="00D1166C">
        <w:rPr>
          <w:b/>
        </w:rPr>
        <w:t>web-based</w:t>
      </w:r>
      <w:r w:rsidRPr="00D1166C">
        <w:rPr>
          <w:b/>
        </w:rPr>
        <w:t xml:space="preserve"> visualization of</w:t>
      </w:r>
      <w:r w:rsidRPr="00D1166C">
        <w:rPr>
          <w:b/>
        </w:rPr>
        <w:t xml:space="preserve"> </w:t>
      </w:r>
      <w:r w:rsidR="003B0273" w:rsidRPr="00D1166C">
        <w:rPr>
          <w:b/>
        </w:rPr>
        <w:t xml:space="preserve">aneuploidy </w:t>
      </w:r>
      <w:r w:rsidR="006D1AC6" w:rsidRPr="00D1166C">
        <w:rPr>
          <w:b/>
        </w:rPr>
        <w:t>in single cells</w:t>
      </w:r>
    </w:p>
    <w:p w14:paraId="4CD9265D" w14:textId="77777777" w:rsidR="00F832C1" w:rsidRPr="00D1166C" w:rsidRDefault="00F832C1" w:rsidP="00D1166C"/>
    <w:p w14:paraId="5245B750" w14:textId="42F4AAFB" w:rsidR="00E56A22" w:rsidRPr="00D1166C" w:rsidRDefault="00E56A22" w:rsidP="00D1166C">
      <w:r w:rsidRPr="00D1166C">
        <w:t>Daniel G. Piqué</w:t>
      </w:r>
      <w:r w:rsidRPr="00D1166C">
        <w:rPr>
          <w:vertAlign w:val="superscript"/>
        </w:rPr>
        <w:t>1,2</w:t>
      </w:r>
      <w:r w:rsidRPr="00D1166C">
        <w:t xml:space="preserve">, </w:t>
      </w:r>
      <w:r w:rsidR="00A25EF9" w:rsidRPr="00D1166C">
        <w:rPr>
          <w:rFonts w:eastAsia="Times New Roman"/>
          <w:color w:val="000000"/>
          <w:shd w:val="clear" w:color="auto" w:fill="FFFFFF"/>
        </w:rPr>
        <w:t>Samuel E. Zimmerman</w:t>
      </w:r>
      <w:r w:rsidR="00A25EF9" w:rsidRPr="00D1166C">
        <w:rPr>
          <w:vertAlign w:val="superscript"/>
        </w:rPr>
        <w:t>1</w:t>
      </w:r>
      <w:r w:rsidR="00A25EF9" w:rsidRPr="00D1166C">
        <w:rPr>
          <w:rFonts w:eastAsia="Times New Roman"/>
          <w:color w:val="000000"/>
          <w:shd w:val="clear" w:color="auto" w:fill="FFFFFF"/>
        </w:rPr>
        <w:t xml:space="preserve">, </w:t>
      </w:r>
      <w:proofErr w:type="spellStart"/>
      <w:r w:rsidRPr="00D1166C">
        <w:t>Grasiella</w:t>
      </w:r>
      <w:proofErr w:type="spellEnd"/>
      <w:r w:rsidRPr="00D1166C">
        <w:t xml:space="preserve"> A. Andriani</w:t>
      </w:r>
      <w:r w:rsidRPr="00D1166C">
        <w:rPr>
          <w:vertAlign w:val="superscript"/>
        </w:rPr>
        <w:t>2</w:t>
      </w:r>
      <w:r w:rsidRPr="00D1166C">
        <w:t>, Elaine Maggi</w:t>
      </w:r>
      <w:r w:rsidRPr="00D1166C">
        <w:rPr>
          <w:vertAlign w:val="superscript"/>
        </w:rPr>
        <w:t>2</w:t>
      </w:r>
      <w:r w:rsidRPr="00D1166C">
        <w:t xml:space="preserve">, </w:t>
      </w:r>
      <w:r w:rsidR="000E2573" w:rsidRPr="00D1166C">
        <w:t>John M. Greally</w:t>
      </w:r>
      <w:r w:rsidR="000E2573" w:rsidRPr="00D1166C">
        <w:rPr>
          <w:vertAlign w:val="superscript"/>
        </w:rPr>
        <w:t>2</w:t>
      </w:r>
      <w:r w:rsidR="000E2573" w:rsidRPr="00D1166C">
        <w:t xml:space="preserve">, </w:t>
      </w:r>
      <w:r w:rsidRPr="00D1166C">
        <w:t>Cristina Montagna</w:t>
      </w:r>
      <w:r w:rsidRPr="00D1166C">
        <w:rPr>
          <w:vertAlign w:val="superscript"/>
        </w:rPr>
        <w:t>2</w:t>
      </w:r>
      <w:r w:rsidRPr="00D1166C">
        <w:rPr>
          <w:vertAlign w:val="superscript"/>
        </w:rPr>
        <w:t>,3</w:t>
      </w:r>
      <w:r w:rsidRPr="00D1166C">
        <w:t>,</w:t>
      </w:r>
      <w:r w:rsidR="000E2573" w:rsidRPr="00D1166C">
        <w:t xml:space="preserve"> </w:t>
      </w:r>
      <w:r w:rsidRPr="00D1166C">
        <w:t>and Jessica C. Mar</w:t>
      </w:r>
      <w:r w:rsidRPr="00D1166C">
        <w:rPr>
          <w:vertAlign w:val="superscript"/>
        </w:rPr>
        <w:t>1</w:t>
      </w:r>
      <w:r w:rsidRPr="00D1166C">
        <w:rPr>
          <w:vertAlign w:val="superscript"/>
        </w:rPr>
        <w:t>,4,5</w:t>
      </w:r>
      <w:r w:rsidRPr="00D1166C">
        <w:rPr>
          <w:vertAlign w:val="superscript"/>
        </w:rPr>
        <w:t>*</w:t>
      </w:r>
    </w:p>
    <w:p w14:paraId="601ED07B" w14:textId="77777777" w:rsidR="00D1166C" w:rsidRDefault="00D1166C" w:rsidP="00D1166C">
      <w:pPr>
        <w:rPr>
          <w:vertAlign w:val="superscript"/>
        </w:rPr>
      </w:pPr>
    </w:p>
    <w:p w14:paraId="5796581F" w14:textId="77777777" w:rsidR="00E56A22" w:rsidRPr="00D1166C" w:rsidRDefault="00E56A22" w:rsidP="00D1166C">
      <w:r w:rsidRPr="00D1166C">
        <w:rPr>
          <w:vertAlign w:val="superscript"/>
        </w:rPr>
        <w:t>1</w:t>
      </w:r>
      <w:r w:rsidRPr="00D1166C">
        <w:t>Department of Systems and Computational Biology</w:t>
      </w:r>
    </w:p>
    <w:p w14:paraId="3DBF71DB" w14:textId="386C8F2D" w:rsidR="00E56A22" w:rsidRPr="00D1166C" w:rsidRDefault="00E56A22" w:rsidP="00D1166C">
      <w:r w:rsidRPr="00D1166C">
        <w:rPr>
          <w:vertAlign w:val="superscript"/>
        </w:rPr>
        <w:t>2</w:t>
      </w:r>
      <w:r w:rsidRPr="00D1166C">
        <w:t>Department of Genetics</w:t>
      </w:r>
    </w:p>
    <w:p w14:paraId="7CFC08D5" w14:textId="7D2E6FE9" w:rsidR="00E56A22" w:rsidRPr="00D1166C" w:rsidRDefault="00E56A22" w:rsidP="00D1166C">
      <w:r w:rsidRPr="00D1166C">
        <w:rPr>
          <w:vertAlign w:val="superscript"/>
        </w:rPr>
        <w:t>3</w:t>
      </w:r>
      <w:r w:rsidRPr="00D1166C">
        <w:t xml:space="preserve">Department of </w:t>
      </w:r>
      <w:r w:rsidRPr="00D1166C">
        <w:t>Pathology</w:t>
      </w:r>
    </w:p>
    <w:p w14:paraId="747FBB2B" w14:textId="7A354586" w:rsidR="00E56A22" w:rsidRPr="00D1166C" w:rsidRDefault="00E56A22" w:rsidP="00D1166C">
      <w:r w:rsidRPr="00D1166C">
        <w:rPr>
          <w:vertAlign w:val="superscript"/>
        </w:rPr>
        <w:t>4</w:t>
      </w:r>
      <w:r w:rsidRPr="00D1166C">
        <w:t>Department of Epidemiology and Population Health</w:t>
      </w:r>
    </w:p>
    <w:p w14:paraId="633C4DF1" w14:textId="77777777" w:rsidR="00E56A22" w:rsidRPr="00D1166C" w:rsidRDefault="00E56A22" w:rsidP="00D1166C">
      <w:r w:rsidRPr="00D1166C">
        <w:t>Albert Einstein College of Medicine, Bronx, NY, 10461, USA</w:t>
      </w:r>
    </w:p>
    <w:p w14:paraId="1B86F0FE" w14:textId="2295D959" w:rsidR="00E56A22" w:rsidRPr="00D1166C" w:rsidRDefault="00E56A22" w:rsidP="00D1166C">
      <w:r w:rsidRPr="00D1166C">
        <w:rPr>
          <w:vertAlign w:val="superscript"/>
        </w:rPr>
        <w:t>5</w:t>
      </w:r>
      <w:r w:rsidRPr="00D1166C">
        <w:t>Australian Institute for Bioengineering and Nanotechnology, The University of Queensland, QLD 4072, Australia</w:t>
      </w:r>
    </w:p>
    <w:p w14:paraId="3E9D3868" w14:textId="77777777" w:rsidR="00E56A22" w:rsidRPr="00D1166C" w:rsidRDefault="00E56A22" w:rsidP="00D1166C"/>
    <w:p w14:paraId="43685E6F" w14:textId="4A640CBC" w:rsidR="00D776C5" w:rsidRPr="002A59BB" w:rsidRDefault="006D1AC6" w:rsidP="00D1166C">
      <w:pPr>
        <w:rPr>
          <w:b/>
        </w:rPr>
      </w:pPr>
      <w:r w:rsidRPr="002A59BB">
        <w:rPr>
          <w:b/>
        </w:rPr>
        <w:t>Abstract</w:t>
      </w:r>
    </w:p>
    <w:p w14:paraId="70946D89" w14:textId="22686CD1" w:rsidR="001824C0" w:rsidRPr="00D1166C" w:rsidRDefault="006D1AC6" w:rsidP="00D1166C">
      <w:r w:rsidRPr="00D1166C">
        <w:t xml:space="preserve">Aneuploidy is </w:t>
      </w:r>
      <w:r w:rsidR="003B0273" w:rsidRPr="00D1166C">
        <w:t>a predisposing factor for cancer. There are traditionally two main methods for detecting aneuploidy</w:t>
      </w:r>
      <w:r w:rsidR="00D1166C">
        <w:t xml:space="preserve"> in research and clinical practice</w:t>
      </w:r>
      <w:r w:rsidR="003B0273" w:rsidRPr="00D1166C">
        <w:t>. Molecular cytogenetic approaches</w:t>
      </w:r>
      <w:r w:rsidR="00D1166C">
        <w:t>, often used in clinical practice,</w:t>
      </w:r>
      <w:r w:rsidR="003B0273" w:rsidRPr="00D1166C">
        <w:t xml:space="preserve"> involve direct visualization of interphase or metaphase preparations of chromosomes using fluorescent probes. More recently, whole genome sequencing has been utilized to </w:t>
      </w:r>
      <w:r w:rsidR="00360345" w:rsidRPr="00D1166C">
        <w:t>discern chromosomal copy number at high resolution. Each of thes</w:t>
      </w:r>
      <w:r w:rsidR="001824C0" w:rsidRPr="00D1166C">
        <w:t xml:space="preserve">e approaches has their </w:t>
      </w:r>
      <w:r w:rsidR="00DE666E">
        <w:t>advantages and disadvantages</w:t>
      </w:r>
      <w:r w:rsidR="00360345" w:rsidRPr="00D1166C">
        <w:t xml:space="preserve">, and an integrated analysis would aid in the </w:t>
      </w:r>
      <w:r w:rsidR="001824C0" w:rsidRPr="00D1166C">
        <w:t>better understanding</w:t>
      </w:r>
      <w:r w:rsidR="003B0273" w:rsidRPr="00D1166C">
        <w:t xml:space="preserve"> </w:t>
      </w:r>
      <w:r w:rsidR="001824C0" w:rsidRPr="00D1166C">
        <w:t xml:space="preserve">of the strengths and limitations of these methods. Here, we develop a web-based tool, termed </w:t>
      </w:r>
      <w:proofErr w:type="spellStart"/>
      <w:r w:rsidR="001824C0" w:rsidRPr="00D1166C">
        <w:t>Aneuvis</w:t>
      </w:r>
      <w:proofErr w:type="spellEnd"/>
      <w:r w:rsidR="001824C0" w:rsidRPr="00D1166C">
        <w:t xml:space="preserve">, that allows users to upload molecular cytogenetic or processed whole-genome sequencing data. </w:t>
      </w:r>
      <w:proofErr w:type="spellStart"/>
      <w:r w:rsidR="001824C0" w:rsidRPr="00D1166C">
        <w:t>Aneuvis</w:t>
      </w:r>
      <w:proofErr w:type="spellEnd"/>
      <w:r w:rsidR="001824C0" w:rsidRPr="00D1166C">
        <w:t xml:space="preserve"> automati</w:t>
      </w:r>
      <w:r w:rsidR="00DE666E">
        <w:t xml:space="preserve">cally constructs visualizations and summary statistics </w:t>
      </w:r>
      <w:r w:rsidR="001824C0" w:rsidRPr="00D1166C">
        <w:t xml:space="preserve">and generates a reproducible report </w:t>
      </w:r>
      <w:r w:rsidR="00E56A22" w:rsidRPr="00D1166C">
        <w:t xml:space="preserve">that </w:t>
      </w:r>
      <w:r w:rsidR="001824C0" w:rsidRPr="00D1166C">
        <w:t xml:space="preserve">can </w:t>
      </w:r>
      <w:r w:rsidR="00E56A22" w:rsidRPr="00D1166C">
        <w:t>be used to</w:t>
      </w:r>
      <w:r w:rsidR="00DE666E">
        <w:t xml:space="preserve"> customize output</w:t>
      </w:r>
      <w:r w:rsidR="001824C0" w:rsidRPr="00D1166C">
        <w:t xml:space="preserve">. We present the first web-based tool that incorporates both molecular cytogenetic and whole genome sequencing data. </w:t>
      </w:r>
      <w:proofErr w:type="spellStart"/>
      <w:r w:rsidR="00DE666E">
        <w:t>Aneuvis</w:t>
      </w:r>
      <w:proofErr w:type="spellEnd"/>
      <w:r w:rsidR="00E56A22" w:rsidRPr="00D1166C">
        <w:t xml:space="preserve"> will highlight molecular heterogeneity both within and between different approaches</w:t>
      </w:r>
      <w:r w:rsidR="00DE666E">
        <w:t xml:space="preserve"> and help distinguish </w:t>
      </w:r>
      <w:r w:rsidR="002A59BB">
        <w:t>cell populations</w:t>
      </w:r>
      <w:r w:rsidR="00E56A22" w:rsidRPr="00D1166C">
        <w:t>.</w:t>
      </w:r>
    </w:p>
    <w:p w14:paraId="626DCCC9" w14:textId="77777777" w:rsidR="00E56A22" w:rsidRPr="00D1166C" w:rsidRDefault="00E56A22" w:rsidP="00D1166C"/>
    <w:p w14:paraId="29562904" w14:textId="13F29E33" w:rsidR="00E56A22" w:rsidRPr="002A59BB" w:rsidRDefault="00E56A22" w:rsidP="00D1166C">
      <w:pPr>
        <w:rPr>
          <w:b/>
        </w:rPr>
      </w:pPr>
      <w:r w:rsidRPr="002A59BB">
        <w:rPr>
          <w:b/>
        </w:rPr>
        <w:t>Introduction</w:t>
      </w:r>
    </w:p>
    <w:p w14:paraId="69704ACE" w14:textId="77777777" w:rsidR="00E56A22" w:rsidRPr="00D1166C" w:rsidRDefault="00E56A22" w:rsidP="00D1166C"/>
    <w:p w14:paraId="2994AF24" w14:textId="6D100774" w:rsidR="00421616" w:rsidRDefault="00421616" w:rsidP="00D1166C">
      <w:r>
        <w:t xml:space="preserve">In humans, alterations in chromosome number are a source of </w:t>
      </w:r>
      <w:r w:rsidR="00B44D8A">
        <w:t>congenital</w:t>
      </w:r>
      <w:r>
        <w:t xml:space="preserve"> disease and a predisposing factor for carcinogenesis.</w:t>
      </w:r>
      <w:r w:rsidR="00AA336C">
        <w:t xml:space="preserve"> </w:t>
      </w:r>
      <w:r w:rsidR="00B44D8A">
        <w:t>Increased variability in the karyotype</w:t>
      </w:r>
      <w:r w:rsidR="00361B76">
        <w:t>s</w:t>
      </w:r>
      <w:r w:rsidR="00B44D8A">
        <w:t xml:space="preserve"> of cancer cell populations is also associated with resistance to chemotherapy and </w:t>
      </w:r>
      <w:r w:rsidR="00361B76">
        <w:t xml:space="preserve">poor clinical outcomes. </w:t>
      </w:r>
      <w:r w:rsidR="00B44D8A">
        <w:t xml:space="preserve">Alterations in chromosome number is also a sign of chromosomal instability, which can lead to cancer therapeutic resistance. Alterations can take place as departures from an integer-valued set, known as polyploidy. </w:t>
      </w:r>
      <w:r w:rsidR="00AA336C">
        <w:t xml:space="preserve">There are two major methods for detecting alterations in chromosome number -- </w:t>
      </w:r>
    </w:p>
    <w:p w14:paraId="3B89E982" w14:textId="77777777" w:rsidR="00421616" w:rsidRDefault="00421616" w:rsidP="00D1166C"/>
    <w:p w14:paraId="6765AD81" w14:textId="5957D0AA" w:rsidR="00361B76" w:rsidRDefault="00361B76" w:rsidP="00D1166C">
      <w:r>
        <w:t>In a cell, there are three possible states</w:t>
      </w:r>
      <w:r>
        <w:t xml:space="preserve"> that a set of chromosomes can have. </w:t>
      </w:r>
      <w:proofErr w:type="spellStart"/>
      <w:r>
        <w:t>Diploidy</w:t>
      </w:r>
      <w:proofErr w:type="spellEnd"/>
      <w:r>
        <w:t xml:space="preserve"> refers to the presence of two copies of each chromosome. Polyploidy refers to an integer-values increase in the number of chromosomes, often </w:t>
      </w:r>
      <w:r w:rsidR="005844B7">
        <w:t>resulting from</w:t>
      </w:r>
      <w:r>
        <w:t xml:space="preserve"> whole-genome duplication.</w:t>
      </w:r>
      <w:r w:rsidR="003F3F3D">
        <w:t xml:space="preserve"> </w:t>
      </w:r>
      <w:r w:rsidR="005844B7">
        <w:t xml:space="preserve">The presence of </w:t>
      </w:r>
      <w:r w:rsidR="003F3F3D">
        <w:t xml:space="preserve">WGD </w:t>
      </w:r>
      <w:r w:rsidR="005844B7">
        <w:t>alters sensitivity</w:t>
      </w:r>
      <w:r w:rsidR="003F3F3D">
        <w:t xml:space="preserve"> </w:t>
      </w:r>
      <w:r w:rsidR="005844B7">
        <w:t xml:space="preserve">of cells </w:t>
      </w:r>
      <w:r w:rsidR="003F3F3D">
        <w:t xml:space="preserve">to </w:t>
      </w:r>
      <w:r w:rsidR="005844B7">
        <w:t>potential cancer therapeutics and is thus important to detect</w:t>
      </w:r>
      <w:r w:rsidR="005844B7">
        <w:fldChar w:fldCharType="begin" w:fldLock="1"/>
      </w:r>
      <w:r w:rsidR="00345837">
        <w:instrText>ADDIN CSL_CITATION { "citationItems" : [ { "id" : "ITEM-1", "itemData" : { "DOI" : "10.1073/pnas.1700234114", "ISSN" : "1091-6490", "PMID" : "28270606", "abstract" : "Loss of cell-cycle control is a hallmark of human cancer. Cell-cycle checkpoints are essential for maintaining genome integrity and balanced growth and division. They are specifically deregulated in cancer cells and contain regulators that represent potential therapeutic targets. Monopolar spindle 1 (Mps1; also known as TTK protein kinase) is a core component of the spindle assembly checkpoint (SAC), a genome-surveillance mechanism that is important for cell survival, and has emerged as a candidate target for anticancer therapy. Here, we report the cellular and antitumor effects of CFI-402257, a potent (Mps1 Ki = 0.09 \u00b1 0.02 nM; cellular Mps1 EC50 = 6.5 \u00b1 0.5 nM), highly selective, and orally active small-molecule inhibitor of Mps1 that was identified through a drug-discovery program. Human cancer cells treated with CFI-402257 exhibit effects consistent with Mps1 kinase inhibition, specifically SAC inactivation, leading to chromosome missegregation, aneuploidy, and ultimately cell death. Oral administration of CFI-402257 in monotherapy or in combination with an anti-programmed cell death 1 (PD-1) antibody in mouse models of human cancer results in inhibition of tumor growth at doses that are well-tolerated. Our findings provide a rationale for the clinical evaluation of CFI-402257 in patients with solid tumors.", "author" : [ { "dropping-particle" : "", "family" : "Mason", "given" : "Jacqueline M", "non-dropping-particle" : "", "parse-names" : false, "suffix" : "" }, { "dropping-particle" : "", "family" : "Wei", "given" : "Xin", "non-dropping-particle" : "", "parse-names" : false, "suffix" : "" }, { "dropping-particle" : "", "family" : "Fletcher", "given" : "Graham C", "non-dropping-particle" : "", "parse-names" : false, "suffix" : "" }, { "dropping-particle" : "", "family" : "Kiarash", "given" : "Reza", "non-dropping-particle" : "", "parse-names" : false, "suffix" : "" }, { "dropping-particle" : "", "family" : "Brokx", "given" : "Richard", "non-dropping-particle" : "", "parse-names" : false, "suffix" : "" }, { "dropping-particle" : "", "family" : "Hodgson", "given" : "Richard", "non-dropping-particle" : "", "parse-names" : false, "suffix" : "" }, { "dropping-particle" : "", "family" : "Beletskaya", "given" : "Irina", "non-dropping-particle" : "", "parse-names" : false, "suffix" : "" }, { "dropping-particle" : "", "family" : "Bray", "given" : "Mark R", "non-dropping-particle" : "", "parse-names" : false, "suffix" : "" }, { "dropping-particle" : "", "family" : "Mak", "given" : "Tak W", "non-dropping-particle" : "", "parse-names" : false, "suffix" : "" } ], "container-title" : "Proceedings of the National Academy of Sciences of the United States of America", "id" : "ITEM-1", "issue" : "12", "issued" : { "date-parts" : [ [ "2017" ] ] }, "page" : "3127-3132", "publisher" : "National Academy of Sciences", "title" : "Functional characterization of CFI-402257, a potent and selective Mps1/TTK kinase inhibitor, for the treatment of cancer.", "type" : "article-journal", "volume" : "114" }, "uris" : [ "http://www.mendeley.com/documents/?uuid=7315bed5-9a3f-3415-860e-48718a27bae3" ] }, { "id" : "ITEM-2", "itemData" : { "DOI" : "10.18632/oncotarget.6432", "ISSN" : "1949-2553", "PMID" : "26637805", "abstract" : "Several lines of evidence indicate that whole-genome duplication resulting in tetraploidy facilitates carcinogenesis by providing an intermediate and metastable state more prone to generate oncogenic aneuploidy. Here, we report a novel strategy to preferentially kill tetraploid cells based on the abrogation of the spindle assembly checkpoint (SAC) via the targeting of TTK protein kinase (better known as monopolar spindle 1, MPS1). The pharmacological inhibition as well as the knockdown of MPS1 kills more efficiently tetraploid cells than their diploid counterparts. By using time-lapse videomicroscopy, we show that tetraploid cells do not survive the aborted mitosis due to SAC abrogation upon MPS1 depletion. On the contrary diploid cells are able to survive up to at least two more cell cycles upon the same treatment. This effect might reflect the enhanced difficulty of cells with whole-genome doubling to tolerate a further increase in ploidy and/or an elevated level of chromosome instability in the absence of SAC functions. We further show that MPS1-inhibited tetraploid cells promote mitotic catastrophe executed by the intrinsic pathway of apoptosis, as indicated by the loss of mitochondrial potential, the release of the pro-apoptotic cytochrome c from mitochondria, and the activation of caspases. Altogether, our results suggest that MPS1 inhibition could be used as a therapeutic strategy for targeting tetraploid cancer cells.", "author" : [ { "dropping-particle" : "", "family" : "Jema\u00e0", "given" : "Mohamed", "non-dropping-particle" : "", "parse-names" : false, "suffix" : "" }, { "dropping-particle" : "", "family" : "Manic", "given" : "Gwenola", "non-dropping-particle" : "", "parse-names" : false, "suffix" : "" }, { "dropping-particle" : "", "family" : "Lledo", "given" : "Gwendaline", "non-dropping-particle" : "", "parse-names" : false, "suffix" : "" }, { "dropping-particle" : "", "family" : "Lissa", "given" : "Delphine", "non-dropping-particle" : "", "parse-names" : false, "suffix" : "" }, { "dropping-particle" : "", "family" : "Reynes", "given" : "Christelle", "non-dropping-particle" : "", "parse-names" : false, "suffix" : "" }, { "dropping-particle" : "", "family" : "Morin", "given" : "Nathalie", "non-dropping-particle" : "", "parse-names" : false, "suffix" : "" }, { "dropping-particle" : "", "family" : "Chibon", "given" : "Fr\u00e9d\u00e9ric", "non-dropping-particle" : "", "parse-names" : false, "suffix" : "" }, { "dropping-particle" : "", "family" : "Sistigu", "given" : "Antonella", "non-dropping-particle" : "", "parse-names" : false, "suffix" : "" }, { "dropping-particle" : "", "family" : "Castedo", "given" : "Maria", "non-dropping-particle" : "", "parse-names" : false, "suffix" : "" }, { "dropping-particle" : "", "family" : "Vitale", "given" : "Ilio", "non-dropping-particle" : "", "parse-names" : false, "suffix" : "" }, { "dropping-particle" : "", "family" : "Kroemer", "given" : "Guido", "non-dropping-particle" : "", "parse-names" : false, "suffix" : "" }, { "dropping-particle" : "", "family" : "Abrieu", "given" : "Ariane", "non-dropping-particle" : "", "parse-names" : false, "suffix" : "" } ], "container-title" : "Oncotarget", "id" : "ITEM-2", "issue" : "1", "issued" : { "date-parts" : [ [ "2016", "1", "5" ] ] }, "page" : "885-901", "title" : "Whole-genome duplication increases tumor cell sensitivity to MPS1 inhibition", "type" : "article-journal", "volume" : "7" }, "uris" : [ "http://www.mendeley.com/documents/?uuid=8a5abd28-b1f8-3ec1-b670-8772e52154ad" ] } ], "mendeley" : { "formattedCitation" : "&lt;sup&gt;1,2&lt;/sup&gt;", "plainTextFormattedCitation" : "1,2", "previouslyFormattedCitation" : "(Jema\u00e0 et al., 2016; Mason et al., 2017)" }, "properties" : {  }, "schema" : "https://github.com/citation-style-language/schema/raw/master/csl-citation.json" }</w:instrText>
      </w:r>
      <w:r w:rsidR="005844B7">
        <w:fldChar w:fldCharType="separate"/>
      </w:r>
      <w:r w:rsidR="00345837" w:rsidRPr="00345837">
        <w:rPr>
          <w:noProof/>
          <w:vertAlign w:val="superscript"/>
        </w:rPr>
        <w:t>1,2</w:t>
      </w:r>
      <w:r w:rsidR="005844B7">
        <w:fldChar w:fldCharType="end"/>
      </w:r>
      <w:r w:rsidR="005844B7">
        <w:t>.</w:t>
      </w:r>
    </w:p>
    <w:p w14:paraId="42BE15CA" w14:textId="77777777" w:rsidR="00361B76" w:rsidRDefault="00361B76" w:rsidP="00D1166C"/>
    <w:p w14:paraId="46E7950C" w14:textId="3D4DD86F" w:rsidR="002871E6" w:rsidRDefault="002871E6" w:rsidP="00D1166C">
      <w:proofErr w:type="spellStart"/>
      <w:r>
        <w:t>Instavility</w:t>
      </w:r>
      <w:proofErr w:type="spellEnd"/>
    </w:p>
    <w:p w14:paraId="6E684A01" w14:textId="4739B29D" w:rsidR="005C2248" w:rsidRDefault="005C2248" w:rsidP="00D1166C">
      <w:r>
        <w:t>Invisibility</w:t>
      </w:r>
    </w:p>
    <w:p w14:paraId="31EC099E" w14:textId="38A3ECA9" w:rsidR="005C2248" w:rsidRDefault="005C2248" w:rsidP="00D1166C">
      <w:r>
        <w:t>SUMCIN CIN-VIS</w:t>
      </w:r>
    </w:p>
    <w:p w14:paraId="6E74E374" w14:textId="77777777" w:rsidR="002871E6" w:rsidRDefault="002871E6" w:rsidP="00D1166C"/>
    <w:p w14:paraId="72F4206F" w14:textId="5F69038A" w:rsidR="00301857" w:rsidRDefault="00301857" w:rsidP="00D1166C">
      <w:pPr>
        <w:rPr>
          <w:i/>
        </w:rPr>
      </w:pPr>
      <w:r w:rsidRPr="002871E6">
        <w:rPr>
          <w:i/>
        </w:rPr>
        <w:t>Whole chromosome instability</w:t>
      </w:r>
    </w:p>
    <w:p w14:paraId="55EB064E" w14:textId="03BAF4A0" w:rsidR="002871E6" w:rsidRPr="002871E6" w:rsidRDefault="002871E6" w:rsidP="00D1166C">
      <w:r>
        <w:t xml:space="preserve">Whole chromosome instability is thought to arise from the </w:t>
      </w:r>
      <w:proofErr w:type="spellStart"/>
      <w:r w:rsidR="005C2248">
        <w:t>missegregation</w:t>
      </w:r>
      <w:proofErr w:type="spellEnd"/>
      <w:r w:rsidR="005C2248">
        <w:t xml:space="preserve"> of chromosomes during mitosis.</w:t>
      </w:r>
    </w:p>
    <w:p w14:paraId="1A8D49B9" w14:textId="77777777" w:rsidR="00301857" w:rsidRDefault="00301857" w:rsidP="00D1166C"/>
    <w:p w14:paraId="1B234719" w14:textId="1F280E3C" w:rsidR="002A59BB" w:rsidRPr="002A59BB" w:rsidRDefault="002A59BB" w:rsidP="00D1166C">
      <w:pPr>
        <w:rPr>
          <w:i/>
        </w:rPr>
      </w:pPr>
      <w:r>
        <w:rPr>
          <w:i/>
        </w:rPr>
        <w:t>Drivers</w:t>
      </w:r>
      <w:r w:rsidRPr="002A59BB">
        <w:rPr>
          <w:i/>
        </w:rPr>
        <w:t xml:space="preserve"> of aneuploidy</w:t>
      </w:r>
    </w:p>
    <w:p w14:paraId="336B5443" w14:textId="77777777" w:rsidR="002A59BB" w:rsidRDefault="002A59BB" w:rsidP="00D1166C"/>
    <w:p w14:paraId="10142732" w14:textId="29A1A3D8" w:rsidR="002A59BB" w:rsidRPr="002A59BB" w:rsidRDefault="002A59BB" w:rsidP="002A59BB">
      <w:pPr>
        <w:rPr>
          <w:i/>
        </w:rPr>
      </w:pPr>
      <w:r>
        <w:rPr>
          <w:i/>
        </w:rPr>
        <w:t>Measuring</w:t>
      </w:r>
      <w:r w:rsidRPr="002A59BB">
        <w:rPr>
          <w:i/>
        </w:rPr>
        <w:t xml:space="preserve"> aneuploidy</w:t>
      </w:r>
    </w:p>
    <w:p w14:paraId="7A65023F" w14:textId="77777777" w:rsidR="002A59BB" w:rsidRDefault="002A59BB" w:rsidP="00D1166C"/>
    <w:p w14:paraId="1AFAF177" w14:textId="37FAAD41" w:rsidR="00BF1428" w:rsidRDefault="00BF1428" w:rsidP="00D1166C">
      <w:r>
        <w:t>Whole genome sequencing</w:t>
      </w:r>
    </w:p>
    <w:p w14:paraId="43E15EB2" w14:textId="77777777" w:rsidR="00BF1428" w:rsidRDefault="00BF1428" w:rsidP="00D1166C"/>
    <w:p w14:paraId="26D5613E" w14:textId="6FCBF8CE" w:rsidR="00BF1428" w:rsidRDefault="00BF1428" w:rsidP="00D1166C">
      <w:r>
        <w:t>FISH</w:t>
      </w:r>
    </w:p>
    <w:p w14:paraId="1BC9017F" w14:textId="77777777" w:rsidR="00BF1428" w:rsidRDefault="00BF1428" w:rsidP="00D1166C"/>
    <w:p w14:paraId="619B34DC" w14:textId="47CC6439" w:rsidR="00BF1428" w:rsidRDefault="005126C1" w:rsidP="00BF1428">
      <w:r>
        <w:t xml:space="preserve">Fluorescence in situ hybridization is an approach that uses fluorescently-labeled DNA-based probes to </w:t>
      </w:r>
    </w:p>
    <w:p w14:paraId="24D8E439" w14:textId="77777777" w:rsidR="00BF1428" w:rsidRDefault="00BF1428" w:rsidP="00D1166C"/>
    <w:p w14:paraId="280E33AE" w14:textId="77777777" w:rsidR="00BF1428" w:rsidRDefault="00BF1428" w:rsidP="00D1166C"/>
    <w:p w14:paraId="5DABCA71" w14:textId="480FAF86" w:rsidR="00E56A22" w:rsidRDefault="003F6964" w:rsidP="00D1166C">
      <w:r>
        <w:t xml:space="preserve">Chromosomal </w:t>
      </w:r>
      <w:r w:rsidR="00421616">
        <w:t xml:space="preserve">copy number variation </w:t>
      </w:r>
      <w:proofErr w:type="spellStart"/>
      <w:r>
        <w:t>variation</w:t>
      </w:r>
      <w:proofErr w:type="spellEnd"/>
      <w:r>
        <w:t xml:space="preserve"> </w:t>
      </w:r>
      <w:r w:rsidR="00FA3ACB">
        <w:t xml:space="preserve">Aneuploidy is </w:t>
      </w:r>
      <w:proofErr w:type="gramStart"/>
      <w:r w:rsidR="00D86CC1">
        <w:t>The</w:t>
      </w:r>
      <w:proofErr w:type="gramEnd"/>
      <w:r w:rsidR="00D86CC1">
        <w:t xml:space="preserve"> drivers of aneuploidy are unclear. Understanding how molecular stressors are </w:t>
      </w:r>
    </w:p>
    <w:p w14:paraId="1EA120F2" w14:textId="2679ACD2" w:rsidR="00361B76" w:rsidRPr="00D1166C" w:rsidRDefault="00361B76" w:rsidP="00D1166C">
      <w:r>
        <w:t>In a cell, there are three possible states</w:t>
      </w:r>
    </w:p>
    <w:p w14:paraId="3D420EC3" w14:textId="77777777" w:rsidR="003B0273" w:rsidRDefault="003B0273" w:rsidP="00D1166C"/>
    <w:p w14:paraId="11607933" w14:textId="3D165B8A" w:rsidR="00A67A0D" w:rsidRPr="004F11BD" w:rsidRDefault="00A67A0D" w:rsidP="00D1166C">
      <w:pPr>
        <w:rPr>
          <w:b/>
        </w:rPr>
      </w:pPr>
      <w:r w:rsidRPr="004F11BD">
        <w:rPr>
          <w:b/>
        </w:rPr>
        <w:t>Results</w:t>
      </w:r>
    </w:p>
    <w:p w14:paraId="5A7DA0D6" w14:textId="77777777" w:rsidR="005844B7" w:rsidRDefault="005844B7" w:rsidP="00D1166C"/>
    <w:p w14:paraId="209006F0" w14:textId="77777777" w:rsidR="005844B7" w:rsidRPr="00D1166C" w:rsidRDefault="005844B7" w:rsidP="00D1166C">
      <w:bookmarkStart w:id="0" w:name="_GoBack"/>
      <w:bookmarkEnd w:id="0"/>
    </w:p>
    <w:sectPr w:rsidR="005844B7" w:rsidRPr="00D1166C" w:rsidSect="001763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42B268" w14:textId="77777777" w:rsidR="00C7745E" w:rsidRDefault="00C7745E" w:rsidP="003B0273">
      <w:r>
        <w:separator/>
      </w:r>
    </w:p>
  </w:endnote>
  <w:endnote w:type="continuationSeparator" w:id="0">
    <w:p w14:paraId="088C0E77" w14:textId="77777777" w:rsidR="00C7745E" w:rsidRDefault="00C7745E" w:rsidP="003B02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D64167" w14:textId="77777777" w:rsidR="00C7745E" w:rsidRDefault="00C7745E" w:rsidP="003B0273">
      <w:r>
        <w:separator/>
      </w:r>
    </w:p>
  </w:footnote>
  <w:footnote w:type="continuationSeparator" w:id="0">
    <w:p w14:paraId="60F7A4E6" w14:textId="77777777" w:rsidR="00C7745E" w:rsidRDefault="00C7745E" w:rsidP="003B027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proofState w:spelling="clean" w:grammar="clean"/>
  <w:revisionView w:markup="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6C5"/>
    <w:rsid w:val="000626BF"/>
    <w:rsid w:val="000D7AFB"/>
    <w:rsid w:val="000E2573"/>
    <w:rsid w:val="000F5EC9"/>
    <w:rsid w:val="0012074D"/>
    <w:rsid w:val="00176345"/>
    <w:rsid w:val="001824C0"/>
    <w:rsid w:val="00225D72"/>
    <w:rsid w:val="002871E6"/>
    <w:rsid w:val="002A59BB"/>
    <w:rsid w:val="00301857"/>
    <w:rsid w:val="00343FF5"/>
    <w:rsid w:val="00345837"/>
    <w:rsid w:val="00360345"/>
    <w:rsid w:val="00361B76"/>
    <w:rsid w:val="003A094D"/>
    <w:rsid w:val="003B0273"/>
    <w:rsid w:val="003E41B7"/>
    <w:rsid w:val="003F3F3D"/>
    <w:rsid w:val="003F6964"/>
    <w:rsid w:val="00421616"/>
    <w:rsid w:val="00451FF3"/>
    <w:rsid w:val="00456B19"/>
    <w:rsid w:val="004D64FB"/>
    <w:rsid w:val="004F11BD"/>
    <w:rsid w:val="005126C1"/>
    <w:rsid w:val="005844B7"/>
    <w:rsid w:val="00592B1B"/>
    <w:rsid w:val="005C2248"/>
    <w:rsid w:val="00610AD3"/>
    <w:rsid w:val="00697F6F"/>
    <w:rsid w:val="006D1AC6"/>
    <w:rsid w:val="008043E3"/>
    <w:rsid w:val="00862D71"/>
    <w:rsid w:val="008E62F0"/>
    <w:rsid w:val="00927FD9"/>
    <w:rsid w:val="00931633"/>
    <w:rsid w:val="009848BE"/>
    <w:rsid w:val="00994DE3"/>
    <w:rsid w:val="00A16BAC"/>
    <w:rsid w:val="00A25EF9"/>
    <w:rsid w:val="00A66D0A"/>
    <w:rsid w:val="00A67A0D"/>
    <w:rsid w:val="00AA336C"/>
    <w:rsid w:val="00B44D8A"/>
    <w:rsid w:val="00B60FC6"/>
    <w:rsid w:val="00BF1428"/>
    <w:rsid w:val="00C45CA1"/>
    <w:rsid w:val="00C7745E"/>
    <w:rsid w:val="00CB3ADB"/>
    <w:rsid w:val="00D1166C"/>
    <w:rsid w:val="00D776C5"/>
    <w:rsid w:val="00D86CC1"/>
    <w:rsid w:val="00DE666E"/>
    <w:rsid w:val="00DF53C0"/>
    <w:rsid w:val="00E55669"/>
    <w:rsid w:val="00E56A22"/>
    <w:rsid w:val="00E77754"/>
    <w:rsid w:val="00F832C1"/>
    <w:rsid w:val="00FA3ACB"/>
    <w:rsid w:val="00FC7BD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4F41C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1166C"/>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0273"/>
    <w:pPr>
      <w:tabs>
        <w:tab w:val="center" w:pos="4680"/>
        <w:tab w:val="right" w:pos="9360"/>
      </w:tabs>
    </w:pPr>
  </w:style>
  <w:style w:type="character" w:customStyle="1" w:styleId="HeaderChar">
    <w:name w:val="Header Char"/>
    <w:basedOn w:val="DefaultParagraphFont"/>
    <w:link w:val="Header"/>
    <w:uiPriority w:val="99"/>
    <w:rsid w:val="003B0273"/>
  </w:style>
  <w:style w:type="paragraph" w:styleId="Footer">
    <w:name w:val="footer"/>
    <w:basedOn w:val="Normal"/>
    <w:link w:val="FooterChar"/>
    <w:uiPriority w:val="99"/>
    <w:unhideWhenUsed/>
    <w:rsid w:val="003B0273"/>
    <w:pPr>
      <w:tabs>
        <w:tab w:val="center" w:pos="4680"/>
        <w:tab w:val="right" w:pos="9360"/>
      </w:tabs>
    </w:pPr>
  </w:style>
  <w:style w:type="character" w:customStyle="1" w:styleId="FooterChar">
    <w:name w:val="Footer Char"/>
    <w:basedOn w:val="DefaultParagraphFont"/>
    <w:link w:val="Footer"/>
    <w:uiPriority w:val="99"/>
    <w:rsid w:val="003B02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79C185E-5443-1644-BB56-08CD7C579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Pages>
  <Words>1584</Words>
  <Characters>8906</Characters>
  <Application>Microsoft Macintosh Word</Application>
  <DocSecurity>0</DocSecurity>
  <Lines>153</Lines>
  <Paragraphs>35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Pique</dc:creator>
  <cp:keywords/>
  <dc:description/>
  <cp:lastModifiedBy>Daniel Pique</cp:lastModifiedBy>
  <cp:revision>23</cp:revision>
  <dcterms:created xsi:type="dcterms:W3CDTF">2018-04-28T22:44:00Z</dcterms:created>
  <dcterms:modified xsi:type="dcterms:W3CDTF">2018-04-29T00:29:00Z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http://www.zotero.org/styles/cell</vt:lpwstr>
  </property>
  <property fmtid="{D5CDD505-2E9C-101B-9397-08002B2CF9AE}" pid="11" name="Mendeley Recent Style Name 4_1">
    <vt:lpwstr>Cell</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http://www.zotero.org/styles/spie-bios</vt:lpwstr>
  </property>
  <property fmtid="{D5CDD505-2E9C-101B-9397-08002B2CF9AE}" pid="21" name="Mendeley Recent Style Name 9_1">
    <vt:lpwstr>SPIE BiOS</vt:lpwstr>
  </property>
  <property fmtid="{D5CDD505-2E9C-101B-9397-08002B2CF9AE}" pid="22" name="Mendeley Document_1">
    <vt:lpwstr>True</vt:lpwstr>
  </property>
  <property fmtid="{D5CDD505-2E9C-101B-9397-08002B2CF9AE}" pid="23" name="Mendeley Unique User Id_1">
    <vt:lpwstr>47ce3be8-391e-3d5f-b777-bad41108f684</vt:lpwstr>
  </property>
  <property fmtid="{D5CDD505-2E9C-101B-9397-08002B2CF9AE}" pid="24" name="Mendeley Citation Style_1">
    <vt:lpwstr>http://www.zotero.org/styles/nature</vt:lpwstr>
  </property>
</Properties>
</file>