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76612" w14:textId="454A422A" w:rsidR="00D776C5" w:rsidRPr="00D1166C" w:rsidRDefault="00D776C5" w:rsidP="00D1166C">
      <w:pPr>
        <w:rPr>
          <w:b/>
        </w:rPr>
      </w:pPr>
      <w:proofErr w:type="spellStart"/>
      <w:r w:rsidRPr="00D1166C">
        <w:rPr>
          <w:b/>
        </w:rPr>
        <w:t>Aneuvis</w:t>
      </w:r>
      <w:proofErr w:type="spellEnd"/>
      <w:r w:rsidRPr="00D1166C">
        <w:rPr>
          <w:b/>
        </w:rPr>
        <w:t xml:space="preserve">: </w:t>
      </w:r>
      <w:r w:rsidR="003B0273" w:rsidRPr="00D1166C">
        <w:rPr>
          <w:b/>
        </w:rPr>
        <w:t xml:space="preserve">Reproducible </w:t>
      </w:r>
      <w:r w:rsidR="006D1AC6" w:rsidRPr="00D1166C">
        <w:rPr>
          <w:b/>
        </w:rPr>
        <w:t>web-based</w:t>
      </w:r>
      <w:r w:rsidRPr="00D1166C">
        <w:rPr>
          <w:b/>
        </w:rPr>
        <w:t xml:space="preserve"> visualization of </w:t>
      </w:r>
      <w:r w:rsidR="003B0273" w:rsidRPr="00D1166C">
        <w:rPr>
          <w:b/>
        </w:rPr>
        <w:t xml:space="preserve">aneuploidy </w:t>
      </w:r>
      <w:r w:rsidR="006D1AC6" w:rsidRPr="00D1166C">
        <w:rPr>
          <w:b/>
        </w:rPr>
        <w:t>in single cells</w:t>
      </w:r>
    </w:p>
    <w:p w14:paraId="5DED3C2C" w14:textId="6273D9B4" w:rsidR="00B57529" w:rsidRPr="00D1166C" w:rsidRDefault="00B57529" w:rsidP="00B57529">
      <w:pPr>
        <w:rPr>
          <w:b/>
        </w:rPr>
      </w:pPr>
      <w:proofErr w:type="spellStart"/>
      <w:r w:rsidRPr="00D1166C">
        <w:rPr>
          <w:b/>
        </w:rPr>
        <w:t>Aneuvis</w:t>
      </w:r>
      <w:proofErr w:type="spellEnd"/>
      <w:r w:rsidRPr="00D1166C">
        <w:rPr>
          <w:b/>
        </w:rPr>
        <w:t xml:space="preserve">: </w:t>
      </w:r>
      <w:r>
        <w:rPr>
          <w:b/>
        </w:rPr>
        <w:t>W</w:t>
      </w:r>
      <w:r w:rsidRPr="00D1166C">
        <w:rPr>
          <w:b/>
        </w:rPr>
        <w:t xml:space="preserve">eb-based </w:t>
      </w:r>
      <w:r>
        <w:rPr>
          <w:b/>
        </w:rPr>
        <w:t>exploration</w:t>
      </w:r>
      <w:r w:rsidRPr="00D1166C">
        <w:rPr>
          <w:b/>
        </w:rPr>
        <w:t xml:space="preserve"> of </w:t>
      </w:r>
      <w:r>
        <w:rPr>
          <w:b/>
        </w:rPr>
        <w:t xml:space="preserve">numerical chromosomal </w:t>
      </w:r>
      <w:r w:rsidR="00A1042C">
        <w:rPr>
          <w:b/>
        </w:rPr>
        <w:t>variation</w:t>
      </w:r>
      <w:r w:rsidRPr="00D1166C">
        <w:rPr>
          <w:b/>
        </w:rPr>
        <w:t xml:space="preserve"> in single </w:t>
      </w:r>
      <w:commentRangeStart w:id="0"/>
      <w:r w:rsidRPr="00D1166C">
        <w:rPr>
          <w:b/>
        </w:rPr>
        <w:t>cells</w:t>
      </w:r>
      <w:commentRangeEnd w:id="0"/>
      <w:r w:rsidR="00435ED6">
        <w:rPr>
          <w:rStyle w:val="CommentReference"/>
        </w:rPr>
        <w:commentReference w:id="0"/>
      </w:r>
    </w:p>
    <w:p w14:paraId="4CD9265D" w14:textId="77777777" w:rsidR="00F832C1" w:rsidRPr="00D1166C" w:rsidRDefault="00F832C1" w:rsidP="00D1166C"/>
    <w:p w14:paraId="5245B750" w14:textId="42F4AAFB" w:rsidR="00E56A22" w:rsidRPr="00D1166C" w:rsidRDefault="00E56A22" w:rsidP="00D1166C">
      <w:r w:rsidRPr="00D1166C">
        <w:t>Daniel G. Piqué</w:t>
      </w:r>
      <w:r w:rsidRPr="00D1166C">
        <w:rPr>
          <w:vertAlign w:val="superscript"/>
        </w:rPr>
        <w:t>1,2</w:t>
      </w:r>
      <w:r w:rsidRPr="00D1166C">
        <w:t xml:space="preserve">, </w:t>
      </w:r>
      <w:r w:rsidR="00A25EF9" w:rsidRPr="00D1166C">
        <w:rPr>
          <w:rFonts w:eastAsia="Times New Roman"/>
          <w:color w:val="000000"/>
          <w:shd w:val="clear" w:color="auto" w:fill="FFFFFF"/>
        </w:rPr>
        <w:t>Samuel E. Zimmerman</w:t>
      </w:r>
      <w:r w:rsidR="00A25EF9" w:rsidRPr="00D1166C">
        <w:rPr>
          <w:vertAlign w:val="superscript"/>
        </w:rPr>
        <w:t>1</w:t>
      </w:r>
      <w:r w:rsidR="00A25EF9" w:rsidRPr="00D1166C">
        <w:rPr>
          <w:rFonts w:eastAsia="Times New Roman"/>
          <w:color w:val="000000"/>
          <w:shd w:val="clear" w:color="auto" w:fill="FFFFFF"/>
        </w:rPr>
        <w:t xml:space="preserve">, </w:t>
      </w:r>
      <w:proofErr w:type="spellStart"/>
      <w:r w:rsidRPr="00D1166C">
        <w:t>Grasiella</w:t>
      </w:r>
      <w:proofErr w:type="spellEnd"/>
      <w:r w:rsidRPr="00D1166C">
        <w:t xml:space="preserve"> A. Andriani</w:t>
      </w:r>
      <w:r w:rsidRPr="00D1166C">
        <w:rPr>
          <w:vertAlign w:val="superscript"/>
        </w:rPr>
        <w:t>2</w:t>
      </w:r>
      <w:r w:rsidRPr="00D1166C">
        <w:t>, Elaine Maggi</w:t>
      </w:r>
      <w:r w:rsidRPr="00D1166C">
        <w:rPr>
          <w:vertAlign w:val="superscript"/>
        </w:rPr>
        <w:t>2</w:t>
      </w:r>
      <w:r w:rsidRPr="00D1166C">
        <w:t xml:space="preserve">, </w:t>
      </w:r>
      <w:r w:rsidR="000E2573" w:rsidRPr="00D1166C">
        <w:t>John M. Greally</w:t>
      </w:r>
      <w:r w:rsidR="000E2573" w:rsidRPr="00D1166C">
        <w:rPr>
          <w:vertAlign w:val="superscript"/>
        </w:rPr>
        <w:t>2</w:t>
      </w:r>
      <w:r w:rsidR="000E2573" w:rsidRPr="00D1166C">
        <w:t xml:space="preserve">, </w:t>
      </w:r>
      <w:r w:rsidRPr="00D1166C">
        <w:t>Cristina Montagna</w:t>
      </w:r>
      <w:r w:rsidRPr="00D1166C">
        <w:rPr>
          <w:vertAlign w:val="superscript"/>
        </w:rPr>
        <w:t>2,3</w:t>
      </w:r>
      <w:r w:rsidRPr="00D1166C">
        <w:t>,</w:t>
      </w:r>
      <w:r w:rsidR="000E2573" w:rsidRPr="00D1166C">
        <w:t xml:space="preserve"> </w:t>
      </w:r>
      <w:r w:rsidRPr="00D1166C">
        <w:t>and Jessica C. Mar</w:t>
      </w:r>
      <w:r w:rsidRPr="00D1166C">
        <w:rPr>
          <w:vertAlign w:val="superscript"/>
        </w:rPr>
        <w:t>1,4,5*</w:t>
      </w:r>
    </w:p>
    <w:p w14:paraId="601ED07B" w14:textId="77777777" w:rsidR="00D1166C" w:rsidRDefault="00D1166C" w:rsidP="00D1166C">
      <w:pPr>
        <w:rPr>
          <w:vertAlign w:val="superscript"/>
        </w:rPr>
      </w:pPr>
    </w:p>
    <w:p w14:paraId="5796581F" w14:textId="77777777" w:rsidR="00E56A22" w:rsidRPr="00D1166C" w:rsidRDefault="00E56A22" w:rsidP="00D1166C">
      <w:r w:rsidRPr="00D1166C">
        <w:rPr>
          <w:vertAlign w:val="superscript"/>
        </w:rPr>
        <w:t>1</w:t>
      </w:r>
      <w:r w:rsidRPr="00D1166C">
        <w:t>Department of Systems and Computational Biology</w:t>
      </w:r>
    </w:p>
    <w:p w14:paraId="3DBF71DB" w14:textId="386C8F2D" w:rsidR="00E56A22" w:rsidRPr="00D1166C" w:rsidRDefault="00E56A22" w:rsidP="00D1166C">
      <w:r w:rsidRPr="00D1166C">
        <w:rPr>
          <w:vertAlign w:val="superscript"/>
        </w:rPr>
        <w:t>2</w:t>
      </w:r>
      <w:r w:rsidRPr="00D1166C">
        <w:t>Department of Genetics</w:t>
      </w:r>
    </w:p>
    <w:p w14:paraId="7CFC08D5" w14:textId="7D2E6FE9" w:rsidR="00E56A22" w:rsidRPr="00D1166C" w:rsidRDefault="00E56A22" w:rsidP="00D1166C">
      <w:r w:rsidRPr="00D1166C">
        <w:rPr>
          <w:vertAlign w:val="superscript"/>
        </w:rPr>
        <w:t>3</w:t>
      </w:r>
      <w:r w:rsidRPr="00D1166C">
        <w:t>Department of Pathology</w:t>
      </w:r>
    </w:p>
    <w:p w14:paraId="747FBB2B" w14:textId="7A354586" w:rsidR="00E56A22" w:rsidRPr="00D1166C" w:rsidRDefault="00E56A22" w:rsidP="00D1166C">
      <w:r w:rsidRPr="00D1166C">
        <w:rPr>
          <w:vertAlign w:val="superscript"/>
        </w:rPr>
        <w:t>4</w:t>
      </w:r>
      <w:r w:rsidRPr="00D1166C">
        <w:t>Department of Epidemiology and Population Health</w:t>
      </w:r>
    </w:p>
    <w:p w14:paraId="633C4DF1" w14:textId="77777777" w:rsidR="00E56A22" w:rsidRPr="00D1166C" w:rsidRDefault="00E56A22" w:rsidP="00D1166C">
      <w:r w:rsidRPr="00D1166C">
        <w:t>Albert Einstein College of Medicine, Bronx, NY, 10461, USA</w:t>
      </w:r>
    </w:p>
    <w:p w14:paraId="4F6A8EAC" w14:textId="111D7DEF" w:rsidR="00A11C96" w:rsidRDefault="00E56A22" w:rsidP="00D1166C">
      <w:r w:rsidRPr="00D1166C">
        <w:rPr>
          <w:vertAlign w:val="superscript"/>
        </w:rPr>
        <w:t>5</w:t>
      </w:r>
      <w:r w:rsidRPr="00D1166C">
        <w:t>Australian Institute for Bioengineering and Nanotechnology, The University of Queensland, QLD 4072, Australia</w:t>
      </w:r>
    </w:p>
    <w:p w14:paraId="45F03008" w14:textId="77777777" w:rsidR="00A11C96" w:rsidRPr="00D1166C" w:rsidRDefault="00A11C96" w:rsidP="00D1166C"/>
    <w:p w14:paraId="43685E6F" w14:textId="4A640CBC" w:rsidR="00D776C5" w:rsidRPr="002A59BB" w:rsidRDefault="006D1AC6" w:rsidP="00D1166C">
      <w:pPr>
        <w:rPr>
          <w:b/>
        </w:rPr>
      </w:pPr>
      <w:r w:rsidRPr="002A59BB">
        <w:rPr>
          <w:b/>
        </w:rPr>
        <w:t>Abstract</w:t>
      </w:r>
    </w:p>
    <w:p w14:paraId="589C974B" w14:textId="78BFD17C" w:rsidR="00ED5C99" w:rsidRDefault="00436288" w:rsidP="00D1166C">
      <w:r>
        <w:t>Numerical chromosomal a</w:t>
      </w:r>
      <w:r w:rsidR="006D1AC6" w:rsidRPr="00D1166C">
        <w:t xml:space="preserve">neuploidy is </w:t>
      </w:r>
      <w:r w:rsidR="003B0273" w:rsidRPr="00D1166C">
        <w:t xml:space="preserve">a predisposing factor for cancer. There are two </w:t>
      </w:r>
      <w:r w:rsidR="007B2415">
        <w:t>broad</w:t>
      </w:r>
      <w:r w:rsidR="003B0273" w:rsidRPr="00D1166C">
        <w:t xml:space="preserve"> </w:t>
      </w:r>
      <w:r w:rsidR="007B2415">
        <w:t xml:space="preserve">approaches </w:t>
      </w:r>
      <w:r w:rsidR="003B0273" w:rsidRPr="00D1166C">
        <w:t xml:space="preserve">for detecting </w:t>
      </w:r>
      <w:r w:rsidR="007B2415">
        <w:t xml:space="preserve">numerical </w:t>
      </w:r>
      <w:r w:rsidR="003B0273" w:rsidRPr="00D1166C">
        <w:t>aneuploidy</w:t>
      </w:r>
      <w:r w:rsidR="00D1166C">
        <w:t xml:space="preserve"> in research and clinical practice</w:t>
      </w:r>
      <w:r w:rsidR="003B0273" w:rsidRPr="00D1166C">
        <w:t>. Molecular cytogenetic approaches</w:t>
      </w:r>
      <w:r w:rsidR="00D1166C">
        <w:t>, often used in clinical practice,</w:t>
      </w:r>
      <w:r w:rsidR="003B0273" w:rsidRPr="00D1166C">
        <w:t xml:space="preserve"> involve direct visualization of interphase or metaphase preparations of chromosomes using fluorescent probes. More recently, whole genome sequencing has been utilized to </w:t>
      </w:r>
      <w:r w:rsidR="00360345" w:rsidRPr="00D1166C">
        <w:t xml:space="preserve">discern chromosomal copy number at high resolution. </w:t>
      </w:r>
      <w:r w:rsidR="00B75286">
        <w:t>A</w:t>
      </w:r>
      <w:r w:rsidR="00360345" w:rsidRPr="00D1166C">
        <w:t>n integrated</w:t>
      </w:r>
      <w:r w:rsidR="00B75286">
        <w:t>, automated workflow</w:t>
      </w:r>
      <w:r w:rsidR="00360345" w:rsidRPr="00D1166C">
        <w:t xml:space="preserve"> would aid in the </w:t>
      </w:r>
      <w:r w:rsidR="001824C0" w:rsidRPr="00D1166C">
        <w:t>better understanding</w:t>
      </w:r>
      <w:r w:rsidR="003B0273" w:rsidRPr="00D1166C">
        <w:t xml:space="preserve"> </w:t>
      </w:r>
      <w:r w:rsidR="001824C0" w:rsidRPr="00D1166C">
        <w:t xml:space="preserve">of the strengths and limitations of these </w:t>
      </w:r>
      <w:r w:rsidR="007B2415">
        <w:t>methods. Here, we develop a web application</w:t>
      </w:r>
      <w:r w:rsidR="001824C0" w:rsidRPr="00D1166C">
        <w:t xml:space="preserve">, termed </w:t>
      </w:r>
      <w:proofErr w:type="spellStart"/>
      <w:r w:rsidR="001824C0" w:rsidRPr="00D1166C">
        <w:t>Aneuvis</w:t>
      </w:r>
      <w:proofErr w:type="spellEnd"/>
      <w:r w:rsidR="001824C0" w:rsidRPr="00D1166C">
        <w:t>, that allows users to upload molecular cytogenetic or processed whole-genome sequencing data</w:t>
      </w:r>
      <w:r w:rsidR="00160D6C">
        <w:t xml:space="preserve"> in a cell-by-chromosome </w:t>
      </w:r>
      <w:r w:rsidR="002778BB">
        <w:t>matrix</w:t>
      </w:r>
      <w:r w:rsidR="00037E61">
        <w:t xml:space="preserve"> format</w:t>
      </w:r>
      <w:r w:rsidR="001824C0" w:rsidRPr="00D1166C">
        <w:t xml:space="preserve">. </w:t>
      </w:r>
      <w:proofErr w:type="spellStart"/>
      <w:r w:rsidR="001824C0" w:rsidRPr="00D1166C">
        <w:t>Aneuvis</w:t>
      </w:r>
      <w:proofErr w:type="spellEnd"/>
      <w:r w:rsidR="001824C0" w:rsidRPr="00D1166C">
        <w:t xml:space="preserve"> automati</w:t>
      </w:r>
      <w:r w:rsidR="00DE666E">
        <w:t>cally constructs visualizations and summary statistics</w:t>
      </w:r>
      <w:r w:rsidR="00EA4120">
        <w:t xml:space="preserve"> to determine whether significant copy number variation exists between experimental treatment groups</w:t>
      </w:r>
      <w:r w:rsidR="001824C0" w:rsidRPr="00D1166C">
        <w:t>.</w:t>
      </w:r>
      <w:r w:rsidR="007B2415">
        <w:t xml:space="preserve"> Permutation testing is also performed to provide the user with statistical confidence in the degree of</w:t>
      </w:r>
      <w:r w:rsidR="00ED5C99">
        <w:t xml:space="preserve"> aneuploidy between different treatment groups.</w:t>
      </w:r>
      <w:r w:rsidR="001824C0" w:rsidRPr="00D1166C">
        <w:t xml:space="preserve"> </w:t>
      </w:r>
      <w:proofErr w:type="spellStart"/>
      <w:r w:rsidR="00DE666E">
        <w:t>Aneuvis</w:t>
      </w:r>
      <w:proofErr w:type="spellEnd"/>
      <w:r w:rsidR="00E56A22" w:rsidRPr="00D1166C">
        <w:t xml:space="preserve"> </w:t>
      </w:r>
      <w:r w:rsidR="002C209C">
        <w:t xml:space="preserve">is a user-friendly tool that will </w:t>
      </w:r>
      <w:r w:rsidR="00DE666E">
        <w:t xml:space="preserve">help </w:t>
      </w:r>
      <w:r w:rsidR="002C209C">
        <w:t xml:space="preserve">researchers </w:t>
      </w:r>
      <w:r w:rsidR="00EA4120">
        <w:t xml:space="preserve">identify </w:t>
      </w:r>
      <w:r w:rsidR="00ED5C99">
        <w:t xml:space="preserve">the genetic and environmental </w:t>
      </w:r>
      <w:r w:rsidR="00EA4120">
        <w:t xml:space="preserve">perturbations that </w:t>
      </w:r>
      <w:r w:rsidR="00ED5C99">
        <w:t>promote</w:t>
      </w:r>
      <w:r w:rsidR="00EA4120">
        <w:t xml:space="preserve"> aneuploidy. </w:t>
      </w:r>
    </w:p>
    <w:p w14:paraId="0A650F16" w14:textId="77777777" w:rsidR="00ED5C99" w:rsidRDefault="00ED5C99" w:rsidP="00D1166C"/>
    <w:p w14:paraId="448EA476" w14:textId="77777777" w:rsidR="00B515F2" w:rsidRDefault="00B515F2" w:rsidP="00B515F2"/>
    <w:p w14:paraId="307E81F7" w14:textId="77777777" w:rsidR="00AA6196" w:rsidRDefault="00AA6196" w:rsidP="00B515F2"/>
    <w:p w14:paraId="004CBA0D" w14:textId="77777777" w:rsidR="00AA6196" w:rsidRDefault="00AA6196" w:rsidP="00B515F2"/>
    <w:p w14:paraId="1A8A259E" w14:textId="77777777" w:rsidR="00AA6196" w:rsidRDefault="00AA6196" w:rsidP="00B515F2"/>
    <w:p w14:paraId="40D1EE46" w14:textId="77777777" w:rsidR="00AA6196" w:rsidRDefault="00AA6196" w:rsidP="00B515F2"/>
    <w:p w14:paraId="50AECD66" w14:textId="77777777" w:rsidR="00AA6196" w:rsidRDefault="00AA6196" w:rsidP="00B515F2"/>
    <w:p w14:paraId="5D0AA987" w14:textId="77777777" w:rsidR="00AA6196" w:rsidRDefault="00AA6196" w:rsidP="00B515F2"/>
    <w:p w14:paraId="7D169A53" w14:textId="77777777" w:rsidR="00AA6196" w:rsidRDefault="00AA6196" w:rsidP="00B515F2"/>
    <w:p w14:paraId="672B4CC6" w14:textId="77777777" w:rsidR="00AA6196" w:rsidRDefault="00AA6196" w:rsidP="00B515F2"/>
    <w:p w14:paraId="032D340E" w14:textId="77777777" w:rsidR="00AA6196" w:rsidRDefault="00AA6196" w:rsidP="00B515F2"/>
    <w:p w14:paraId="7832B4AE" w14:textId="77777777" w:rsidR="00AA6196" w:rsidRDefault="00AA6196" w:rsidP="00B515F2"/>
    <w:p w14:paraId="4C4A6EE0" w14:textId="77777777" w:rsidR="00AA6196" w:rsidRDefault="00AA6196" w:rsidP="00B515F2"/>
    <w:p w14:paraId="5E8C54ED" w14:textId="77777777" w:rsidR="00AA6196" w:rsidRDefault="00AA6196" w:rsidP="00B515F2"/>
    <w:p w14:paraId="48A2E1DD" w14:textId="77777777" w:rsidR="00AA6196" w:rsidRDefault="00AA6196" w:rsidP="00B515F2"/>
    <w:p w14:paraId="2BBFA5FD" w14:textId="77777777" w:rsidR="00AA6196" w:rsidRDefault="00AA6196" w:rsidP="00B515F2"/>
    <w:p w14:paraId="724FB86B" w14:textId="77777777" w:rsidR="00AA6196" w:rsidRDefault="00AA6196" w:rsidP="00B515F2"/>
    <w:tbl>
      <w:tblPr>
        <w:tblStyle w:val="TableGrid"/>
        <w:tblW w:w="8059" w:type="dxa"/>
        <w:tblLook w:val="04A0" w:firstRow="1" w:lastRow="0" w:firstColumn="1" w:lastColumn="0" w:noHBand="0" w:noVBand="1"/>
      </w:tblPr>
      <w:tblGrid>
        <w:gridCol w:w="2950"/>
        <w:gridCol w:w="3317"/>
        <w:gridCol w:w="1792"/>
      </w:tblGrid>
      <w:tr w:rsidR="00B515F2" w14:paraId="6AF2ED91" w14:textId="77777777" w:rsidTr="003B0CAF">
        <w:trPr>
          <w:cantSplit/>
          <w:trHeight w:val="67"/>
        </w:trPr>
        <w:tc>
          <w:tcPr>
            <w:tcW w:w="2950" w:type="dxa"/>
          </w:tcPr>
          <w:p w14:paraId="2F482673" w14:textId="77777777" w:rsidR="00B515F2" w:rsidRPr="00005A65" w:rsidRDefault="00B515F2" w:rsidP="003B0CAF">
            <w:pPr>
              <w:rPr>
                <w:b/>
              </w:rPr>
            </w:pPr>
            <w:r w:rsidRPr="00005A65">
              <w:rPr>
                <w:b/>
              </w:rPr>
              <w:lastRenderedPageBreak/>
              <w:t>Method</w:t>
            </w:r>
          </w:p>
        </w:tc>
        <w:tc>
          <w:tcPr>
            <w:tcW w:w="3317" w:type="dxa"/>
          </w:tcPr>
          <w:p w14:paraId="7DF7CC9C" w14:textId="77777777" w:rsidR="00B515F2" w:rsidRPr="00005A65" w:rsidRDefault="00B515F2" w:rsidP="003B0CAF">
            <w:pPr>
              <w:rPr>
                <w:b/>
              </w:rPr>
            </w:pPr>
            <w:r>
              <w:rPr>
                <w:b/>
              </w:rPr>
              <w:t>Equation</w:t>
            </w:r>
          </w:p>
        </w:tc>
        <w:tc>
          <w:tcPr>
            <w:tcW w:w="1792" w:type="dxa"/>
          </w:tcPr>
          <w:p w14:paraId="26717DC6" w14:textId="77777777" w:rsidR="00B515F2" w:rsidRPr="00005A65" w:rsidRDefault="00B515F2" w:rsidP="003B0CAF">
            <w:pPr>
              <w:rPr>
                <w:b/>
              </w:rPr>
            </w:pPr>
            <w:r w:rsidRPr="00005A65">
              <w:rPr>
                <w:b/>
              </w:rPr>
              <w:t xml:space="preserve">Support </w:t>
            </w:r>
          </w:p>
        </w:tc>
      </w:tr>
      <w:tr w:rsidR="00B515F2" w14:paraId="5459DE68" w14:textId="77777777" w:rsidTr="003B0CAF">
        <w:trPr>
          <w:cantSplit/>
          <w:trHeight w:val="58"/>
        </w:trPr>
        <w:tc>
          <w:tcPr>
            <w:tcW w:w="2950" w:type="dxa"/>
          </w:tcPr>
          <w:p w14:paraId="0490CF50" w14:textId="04452835" w:rsidR="00B515F2" w:rsidRDefault="00B515F2" w:rsidP="00AA6196">
            <w:r>
              <w:t>Instability index (</w:t>
            </w:r>
            <m:oMath>
              <m:r>
                <w:rPr>
                  <w:rFonts w:ascii="Cambria Math" w:hAnsi="Cambria Math"/>
                </w:rPr>
                <m:t>I</m:t>
              </m:r>
            </m:oMath>
            <w:r>
              <w:t>)</w:t>
            </w:r>
            <w:r>
              <w:fldChar w:fldCharType="begin" w:fldLock="1"/>
            </w:r>
            <w:r w:rsidR="00AA6196">
              <w:instrText>ADDIN CSL_CITATION { "citationItems" : [ { "id" : "ITEM-1", "itemData" : { "DOI" : "10.1038/386623a0", "ISBN" : "0028-0836 (Print)", "ISSN" : "00280836", "PMID" : "9121588", "abstract" : "It has long been considered that genetic instability is an integral component of human neoplasia. In a small fraction of tumours, mismatch repair deficiency leads to a microsatellite instability at the nucleotide sequence level. In other tumours, an abnormal chromosome number (aneuploidy) has suggested an instability, but the nature and magnitude of the postulated instability is a matter of conjecture. We show here that colorectal tumours without microsatellite instability exhibit a striking defect in chromosome segregation, resulting in gains or losses in excess of 10(-2) per chromosome per generation. This form of chromosomal instability reflected a continuing cellular defect that persisted throughout the lifetime of the tumour cell and was not simply related to chromosome number. While microsatellite instability is a recessive trait, chromosomal instability appeared to be dominant. These data indicate that persistent genetic instability may be critical for the development of all colorectal cancers, and that such instability can arise through two distinct pathways.", "author" : [ { "dropping-particle" : "", "family" : "Lengauer", "given" : "C.", "non-dropping-particle" : "", "parse-names" : false, "suffix" : "" }, { "dropping-particle" : "", "family" : "Kinzler", "given" : "K. W.", "non-dropping-particle" : "", "parse-names" : false, "suffix" : "" }, { "dropping-particle" : "", "family" : "Vogelstein", "given" : "B.", "non-dropping-particle" : "", "parse-names" : false, "suffix" : "" } ], "container-title" : "Nature", "id" : "ITEM-1", "issue" : "6625", "issued" : { "date-parts" : [ [ "1997" ] ] }, "page" : "623-627", "title" : "Genetic instability in colorectal cancers", "type" : "article", "volume" : "386" }, "uris" : [ "http://www.mendeley.com/documents/?uuid=704623a5-6927-44aa-9e47-16e877129abf" ] }, { "id" : "ITEM-2", "itemData" : { "DOI" : "10.1593/neo.08584", "ISBN" : "1476-5586 (Electronic)\\r1476-5586 (Linking)", "ISSN" : "14765586", "PMID" : "18813350", "abstract" : "Sporadic ovarian cancer is a particularly aggressive tumor characterized by highly abnormal karyotypes exhibiting many features of genomic instability. More complex genomic changes in tumors arise as a consequence of chromosomal instability (CIN), which can generate both numerical [(N)-CIN] and structural chromosomal instability [(S)-CIN]. In this study, molecular cytogenetic analysis was used to evaluate the relative levels of both (N)-CIN and (S)-CIN. Six tumors had a near-diploid chromosome number, two were near-tetraploid, and two were near-triploid. (N)-CIN levels increased as a function of overall tumor genomic content, with near-diploid tumors exhibiting numerical instability indices ranging from 7.0 to 21.0 and near-tetraploid and triploid tumors exhibiting instability indices ranging from 24.9 to 54.9. In contrast, the extent of (S)-CIN was generally more evident in the diploid tumors compared with the near-tetraploid tumors. To determine whether the associated chromosomal constitution and/or ploidy changes were influenced by mitotic segregation errors, centrosome analyses were performed on all 10 tumors. The near-diploid tumors, with the lowest numerical change, were observed to possess fewer cells with centrosome abnormalities (5.5% to 14.0%), whereas the near-tetraploid tumors possessed much higher levels of (N)-CIN and were characterized by a trend of elevating percentages of cells with abnormal centrosomes (16.0% to 20.5%). These observations suggest that two distinct processes governing genome stability may be disrupted in ovarian cancer: those that impact on numerical segregation and ploidy of chromosomes and those that affect the fidelity of DNA repair and lead to structural aberrations.", "author" : [ { "dropping-particle" : "", "family" : "Bayani", "given" : "Jane", "non-dropping-particle" : "", "parse-names" : false, "suffix" : "" }, { "dropping-particle" : "", "family" : "Paderova", "given" : "Jana", "non-dropping-particle" : "", "parse-names" : false, "suffix" : "" }, { "dropping-particle" : "", "family" : "Murphy", "given" : "Joan", "non-dropping-particle" : "", "parse-names" : false, "suffix" : "" }, { "dropping-particle" : "", "family" : "Rosen", "given" : "Barry", "non-dropping-particle" : "", "parse-names" : false, "suffix" : "" }, { "dropping-particle" : "", "family" : "Zielenska", "given" : "Maria", "non-dropping-particle" : "", "parse-names" : false, "suffix" : "" }, { "dropping-particle" : "", "family" : "Squire", "given" : "Jeremy A.", "non-dropping-particle" : "", "parse-names" : false, "suffix" : "" } ], "container-title" : "Neoplasia", "id" : "ITEM-2", "issue" : "10", "issued" : { "date-parts" : [ [ "2008" ] ] }, "page" : "1057-IN3", "title" : "Distinct Patterns of Structural and Numerical Chromosomal Instability Characterize Sporadic Ovarian Cancer", "type" : "article-journal", "volume" : "10" }, "uris" : [ "http://www.mendeley.com/documents/?uuid=3ddf0a7e-8d28-41aa-b11e-40e98af175cb" ] } ], "mendeley" : { "formattedCitation" : "&lt;sup&gt;1,2&lt;/sup&gt;", "plainTextFormattedCitation" : "1,2", "previouslyFormattedCitation" : "&lt;sup&gt;1,2&lt;/sup&gt;" }, "properties" : {  }, "schema" : "https://github.com/citation-style-language/schema/raw/master/csl-citation.json" }</w:instrText>
            </w:r>
            <w:r>
              <w:fldChar w:fldCharType="separate"/>
            </w:r>
            <w:r w:rsidR="00AA6196" w:rsidRPr="00AA6196">
              <w:rPr>
                <w:noProof/>
                <w:vertAlign w:val="superscript"/>
              </w:rPr>
              <w:t>1,2</w:t>
            </w:r>
            <w:r>
              <w:fldChar w:fldCharType="end"/>
            </w:r>
          </w:p>
        </w:tc>
        <w:tc>
          <w:tcPr>
            <w:tcW w:w="3317" w:type="dxa"/>
          </w:tcPr>
          <w:p w14:paraId="426DD873" w14:textId="77777777" w:rsidR="00B515F2" w:rsidRPr="006C6981" w:rsidRDefault="00B515F2" w:rsidP="003B0CAF">
            <w:pPr>
              <w:rPr>
                <w:rFonts w:eastAsiaTheme="minorEastAsia"/>
              </w:rPr>
            </w:pPr>
            <m:oMath>
              <m:r>
                <w:rPr>
                  <w:rFonts w:ascii="Cambria Math" w:hAnsi="Cambria Math"/>
                </w:rPr>
                <m:t>I=</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k</m:t>
                              </m:r>
                            </m:e>
                            <m:sub>
                              <m:r>
                                <w:rPr>
                                  <w:rFonts w:ascii="Cambria Math" w:hAnsi="Cambria Math"/>
                                </w:rPr>
                                <m:t>t</m:t>
                              </m:r>
                            </m:sub>
                          </m:sSub>
                        </m:e>
                      </m:nary>
                    </m:num>
                    <m:den>
                      <m:r>
                        <w:rPr>
                          <w:rFonts w:ascii="Cambria Math" w:hAnsi="Cambria Math"/>
                        </w:rPr>
                        <m:t>T</m:t>
                      </m:r>
                    </m:den>
                  </m:f>
                </m:e>
              </m:d>
              <m:r>
                <w:rPr>
                  <w:rFonts w:ascii="Cambria Math" w:hAnsi="Cambria Math"/>
                </w:rPr>
                <m:t>*100</m:t>
              </m:r>
            </m:oMath>
            <w:r>
              <w:rPr>
                <w:rFonts w:eastAsiaTheme="minorEastAsia"/>
              </w:rPr>
              <w:t xml:space="preserve"> </w:t>
            </w:r>
          </w:p>
        </w:tc>
        <w:tc>
          <w:tcPr>
            <w:tcW w:w="1792" w:type="dxa"/>
          </w:tcPr>
          <w:p w14:paraId="0B1589F3" w14:textId="77777777" w:rsidR="00B515F2" w:rsidRDefault="00B515F2" w:rsidP="003B0CAF">
            <m:oMathPara>
              <m:oMath>
                <m:r>
                  <w:rPr>
                    <w:rFonts w:ascii="Cambria Math" w:eastAsiaTheme="minorEastAsia" w:hAnsi="Cambria Math"/>
                  </w:rPr>
                  <m:t>I∈</m:t>
                </m:r>
                <m:r>
                  <w:rPr>
                    <w:rFonts w:ascii="Cambria Math" w:hAnsi="Cambria Math"/>
                  </w:rPr>
                  <m:t>[0, ∞)</m:t>
                </m:r>
              </m:oMath>
            </m:oMathPara>
          </w:p>
        </w:tc>
      </w:tr>
      <w:tr w:rsidR="00B515F2" w14:paraId="782149DC" w14:textId="77777777" w:rsidTr="003B0CAF">
        <w:trPr>
          <w:cantSplit/>
          <w:trHeight w:val="272"/>
        </w:trPr>
        <w:tc>
          <w:tcPr>
            <w:tcW w:w="2950" w:type="dxa"/>
          </w:tcPr>
          <w:p w14:paraId="16B61F4A" w14:textId="745F56CF" w:rsidR="00B515F2" w:rsidRDefault="00B515F2" w:rsidP="00AA6196">
            <w:r>
              <w:t>ANCA (</w:t>
            </w:r>
            <m:oMath>
              <m:r>
                <w:rPr>
                  <w:rFonts w:ascii="Cambria Math" w:hAnsi="Cambria Math"/>
                </w:rPr>
                <m:t>A</m:t>
              </m:r>
            </m:oMath>
            <w:r>
              <w:t>)</w:t>
            </w:r>
            <w:r>
              <w:fldChar w:fldCharType="begin" w:fldLock="1"/>
            </w:r>
            <w:r w:rsidR="00AA6196">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"&lt;sup&gt;3,4&lt;/sup&gt;", "plainTextFormattedCitation" : "3,4", "previouslyFormattedCitation" : "&lt;sup&gt;3,4&lt;/sup&gt;" }, "properties" : {  }, "schema" : "https://github.com/citation-style-language/schema/raw/master/csl-citation.json" }</w:instrText>
            </w:r>
            <w:r>
              <w:fldChar w:fldCharType="separate"/>
            </w:r>
            <w:r w:rsidR="00AA6196" w:rsidRPr="00AA6196">
              <w:rPr>
                <w:noProof/>
                <w:vertAlign w:val="superscript"/>
              </w:rPr>
              <w:t>3,4</w:t>
            </w:r>
            <w:r>
              <w:fldChar w:fldCharType="end"/>
            </w:r>
            <w:r>
              <w:t xml:space="preserve">  </w:t>
            </w:r>
          </w:p>
        </w:tc>
        <w:tc>
          <w:tcPr>
            <w:tcW w:w="3317" w:type="dxa"/>
          </w:tcPr>
          <w:p w14:paraId="63DB15C0" w14:textId="77777777" w:rsidR="00B515F2" w:rsidRPr="00083E99" w:rsidRDefault="00B515F2" w:rsidP="003B0CAF">
            <w:pPr>
              <w:rPr>
                <w:rFonts w:eastAsiaTheme="minorEastAsia"/>
              </w:rPr>
            </w:pPr>
            <m:oMath>
              <m:r>
                <w:rPr>
                  <w:rFonts w:ascii="Cambria Math" w:hAnsi="Cambria Math"/>
                </w:rPr>
                <m:t xml:space="preserve">A=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n</m:t>
                      </m:r>
                    </m:den>
                  </m:f>
                </m:e>
              </m:d>
            </m:oMath>
            <w:r>
              <w:rPr>
                <w:rFonts w:eastAsiaTheme="minorEastAsia"/>
              </w:rPr>
              <w:t xml:space="preserve"> </w:t>
            </w:r>
          </w:p>
        </w:tc>
        <w:tc>
          <w:tcPr>
            <w:tcW w:w="1792" w:type="dxa"/>
          </w:tcPr>
          <w:p w14:paraId="66DE459B" w14:textId="77777777" w:rsidR="00B515F2" w:rsidRPr="00005A65" w:rsidRDefault="00B515F2" w:rsidP="003B0CAF">
            <w:pPr>
              <w:rPr>
                <w:rFonts w:eastAsiaTheme="minorEastAsia"/>
              </w:rPr>
            </w:pPr>
            <m:oMathPara>
              <m:oMath>
                <m:r>
                  <w:rPr>
                    <w:rFonts w:ascii="Cambria Math" w:eastAsiaTheme="minorEastAsia" w:hAnsi="Cambria Math"/>
                  </w:rPr>
                  <m:t>A∈</m:t>
                </m:r>
                <m:r>
                  <w:rPr>
                    <w:rFonts w:ascii="Cambria Math" w:hAnsi="Cambria Math"/>
                  </w:rPr>
                  <m:t>[0, ∞)</m:t>
                </m:r>
              </m:oMath>
            </m:oMathPara>
          </w:p>
        </w:tc>
      </w:tr>
      <w:tr w:rsidR="00B515F2" w14:paraId="00F22789" w14:textId="77777777" w:rsidTr="003B0CAF">
        <w:trPr>
          <w:cantSplit/>
          <w:trHeight w:val="58"/>
        </w:trPr>
        <w:tc>
          <w:tcPr>
            <w:tcW w:w="2950" w:type="dxa"/>
          </w:tcPr>
          <w:p w14:paraId="301B751C" w14:textId="77777777" w:rsidR="00B515F2" w:rsidRDefault="00B515F2" w:rsidP="003B0CAF">
            <w:r>
              <w:t>Normalized ANCA (</w:t>
            </w:r>
            <m:oMath>
              <m:r>
                <w:rPr>
                  <w:rFonts w:ascii="Cambria Math" w:hAnsi="Cambria Math"/>
                </w:rPr>
                <m:t>AN</m:t>
              </m:r>
            </m:oMath>
            <w:r>
              <w:t>)*</w:t>
            </w:r>
          </w:p>
        </w:tc>
        <w:tc>
          <w:tcPr>
            <w:tcW w:w="3317" w:type="dxa"/>
          </w:tcPr>
          <w:p w14:paraId="28687423" w14:textId="77777777" w:rsidR="00B515F2" w:rsidRPr="00F417E4" w:rsidRDefault="00B515F2" w:rsidP="003B0CAF">
            <w:pPr>
              <w:rPr>
                <w:rFonts w:eastAsiaTheme="minorEastAsia"/>
              </w:rPr>
            </w:pPr>
            <m:oMath>
              <m:r>
                <w:rPr>
                  <w:rFonts w:ascii="Cambria Math" w:hAnsi="Cambria Math"/>
                </w:rPr>
                <m:t xml:space="preserve">AN=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T*n</m:t>
                      </m:r>
                    </m:den>
                  </m:f>
                </m:e>
              </m:d>
            </m:oMath>
            <w:r>
              <w:rPr>
                <w:rFonts w:eastAsiaTheme="minorEastAsia"/>
              </w:rPr>
              <w:t xml:space="preserve"> </w:t>
            </w:r>
          </w:p>
        </w:tc>
        <w:tc>
          <w:tcPr>
            <w:tcW w:w="1792" w:type="dxa"/>
          </w:tcPr>
          <w:p w14:paraId="4A3C28B3" w14:textId="77777777" w:rsidR="00B515F2" w:rsidRPr="00005A65" w:rsidRDefault="00B515F2" w:rsidP="003B0CAF">
            <w:pPr>
              <w:rPr>
                <w:rFonts w:eastAsiaTheme="minorEastAsia"/>
              </w:rPr>
            </w:pPr>
            <m:oMathPara>
              <m:oMath>
                <m:r>
                  <w:rPr>
                    <w:rFonts w:ascii="Cambria Math" w:eastAsiaTheme="minorEastAsia" w:hAnsi="Cambria Math"/>
                  </w:rPr>
                  <m:t>A∈</m:t>
                </m:r>
                <m:r>
                  <w:rPr>
                    <w:rFonts w:ascii="Cambria Math" w:hAnsi="Cambria Math"/>
                  </w:rPr>
                  <m:t>[0, ∞)</m:t>
                </m:r>
              </m:oMath>
            </m:oMathPara>
          </w:p>
        </w:tc>
      </w:tr>
      <w:tr w:rsidR="00B515F2" w14:paraId="19F8D68D" w14:textId="77777777" w:rsidTr="003B0CAF">
        <w:trPr>
          <w:cantSplit/>
          <w:trHeight w:val="58"/>
        </w:trPr>
        <w:tc>
          <w:tcPr>
            <w:tcW w:w="2950" w:type="dxa"/>
          </w:tcPr>
          <w:p w14:paraId="64E35157" w14:textId="78EF0B02" w:rsidR="00B515F2" w:rsidRDefault="00B515F2" w:rsidP="00AA6196">
            <w:r>
              <w:t>Aneuploidy score (</w:t>
            </w:r>
            <m:oMath>
              <m:r>
                <w:rPr>
                  <w:rFonts w:ascii="Cambria Math" w:hAnsi="Cambria Math"/>
                </w:rPr>
                <m:t>D</m:t>
              </m:r>
            </m:oMath>
            <w:r>
              <w:t>)</w:t>
            </w:r>
            <w:r>
              <w:fldChar w:fldCharType="begin" w:fldLock="1"/>
            </w:r>
            <w:r w:rsidR="00AA6196">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"&lt;sup&gt;5&lt;/sup&gt;", "plainTextFormattedCitation" : "5", "previouslyFormattedCitation" : "&lt;sup&gt;5&lt;/sup&gt;" }, "properties" : {  }, "schema" : "https://github.com/citation-style-language/schema/raw/master/csl-citation.json" }</w:instrText>
            </w:r>
            <w:r>
              <w:fldChar w:fldCharType="separate"/>
            </w:r>
            <w:r w:rsidR="00AA6196" w:rsidRPr="00AA6196">
              <w:rPr>
                <w:noProof/>
                <w:vertAlign w:val="superscript"/>
              </w:rPr>
              <w:t>5</w:t>
            </w:r>
            <w:r>
              <w:fldChar w:fldCharType="end"/>
            </w:r>
          </w:p>
        </w:tc>
        <w:tc>
          <w:tcPr>
            <w:tcW w:w="3317" w:type="dxa"/>
          </w:tcPr>
          <w:p w14:paraId="7FB454A3" w14:textId="77777777" w:rsidR="00B515F2" w:rsidRDefault="00B515F2" w:rsidP="003B0CAF">
            <m:oMath>
              <m:r>
                <w:rPr>
                  <w:rFonts w:ascii="Cambria Math" w:hAnsi="Cambria Math"/>
                </w:rPr>
                <m:t xml:space="preserve">D=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e>
                  </m:nary>
                </m:e>
              </m:nary>
            </m:oMath>
            <w:r>
              <w:t xml:space="preserve"> </w:t>
            </w:r>
          </w:p>
        </w:tc>
        <w:tc>
          <w:tcPr>
            <w:tcW w:w="1792" w:type="dxa"/>
          </w:tcPr>
          <w:p w14:paraId="441FFB4F" w14:textId="77777777" w:rsidR="00B515F2" w:rsidRPr="00005A65" w:rsidRDefault="00B515F2" w:rsidP="003B0CAF">
            <w:pPr>
              <w:rPr>
                <w:rFonts w:eastAsiaTheme="minorEastAsia"/>
              </w:rPr>
            </w:pPr>
            <m:oMathPara>
              <m:oMath>
                <m:r>
                  <w:rPr>
                    <w:rFonts w:ascii="Cambria Math" w:eastAsiaTheme="minorEastAsia" w:hAnsi="Cambria Math"/>
                  </w:rPr>
                  <m:t>D∈</m:t>
                </m:r>
                <m:r>
                  <w:rPr>
                    <w:rFonts w:ascii="Cambria Math" w:hAnsi="Cambria Math"/>
                  </w:rPr>
                  <m:t>[0, ∞)</m:t>
                </m:r>
              </m:oMath>
            </m:oMathPara>
          </w:p>
        </w:tc>
      </w:tr>
      <w:tr w:rsidR="00B515F2" w14:paraId="01513FF5" w14:textId="77777777" w:rsidTr="003B0CAF">
        <w:trPr>
          <w:cantSplit/>
          <w:trHeight w:val="58"/>
        </w:trPr>
        <w:tc>
          <w:tcPr>
            <w:tcW w:w="2950" w:type="dxa"/>
          </w:tcPr>
          <w:p w14:paraId="7A4B9252" w14:textId="1D6D48F9" w:rsidR="00B515F2" w:rsidRDefault="00B515F2" w:rsidP="00AA6196">
            <w:r>
              <w:t>Heterogeneity score (</w:t>
            </w:r>
            <m:oMath>
              <m:r>
                <w:rPr>
                  <w:rFonts w:ascii="Cambria Math" w:hAnsi="Cambria Math"/>
                </w:rPr>
                <m:t>H</m:t>
              </m:r>
            </m:oMath>
            <w:r>
              <w:t>)</w:t>
            </w:r>
            <w:r>
              <w:fldChar w:fldCharType="begin" w:fldLock="1"/>
            </w:r>
            <w:r w:rsidR="00AA6196">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"&lt;sup&gt;5&lt;/sup&gt;", "plainTextFormattedCitation" : "5", "previouslyFormattedCitation" : "&lt;sup&gt;5&lt;/sup&gt;" }, "properties" : {  }, "schema" : "https://github.com/citation-style-language/schema/raw/master/csl-citation.json" }</w:instrText>
            </w:r>
            <w:r>
              <w:fldChar w:fldCharType="separate"/>
            </w:r>
            <w:r w:rsidR="00AA6196" w:rsidRPr="00AA6196">
              <w:rPr>
                <w:noProof/>
                <w:vertAlign w:val="superscript"/>
              </w:rPr>
              <w:t>5</w:t>
            </w:r>
            <w:r>
              <w:fldChar w:fldCharType="end"/>
            </w:r>
          </w:p>
        </w:tc>
        <w:tc>
          <w:tcPr>
            <w:tcW w:w="3317" w:type="dxa"/>
          </w:tcPr>
          <w:p w14:paraId="40394F59" w14:textId="77777777" w:rsidR="00B515F2" w:rsidRDefault="00B515F2" w:rsidP="003B0CAF">
            <m:oMath>
              <m:r>
                <w:rPr>
                  <w:rFonts w:ascii="Cambria Math" w:hAnsi="Cambria Math"/>
                </w:rPr>
                <m:t xml:space="preserve">H=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f=0</m:t>
                      </m:r>
                    </m:sub>
                    <m:sup>
                      <m:r>
                        <w:rPr>
                          <w:rFonts w:ascii="Cambria Math" w:hAnsi="Cambria Math"/>
                        </w:rPr>
                        <m:t>S-1</m:t>
                      </m:r>
                    </m:sup>
                    <m:e>
                      <m:sSub>
                        <m:sSubPr>
                          <m:ctrlPr>
                            <w:rPr>
                              <w:rFonts w:ascii="Cambria Math" w:hAnsi="Cambria Math"/>
                              <w:i/>
                            </w:rPr>
                          </m:ctrlPr>
                        </m:sSubPr>
                        <m:e>
                          <m:r>
                            <w:rPr>
                              <w:rFonts w:ascii="Cambria Math" w:hAnsi="Cambria Math"/>
                            </w:rPr>
                            <m:t>f∙m</m:t>
                          </m:r>
                        </m:e>
                        <m:sub>
                          <m:r>
                            <w:rPr>
                              <w:rFonts w:ascii="Cambria Math" w:hAnsi="Cambria Math"/>
                            </w:rPr>
                            <m:t>f,t</m:t>
                          </m:r>
                        </m:sub>
                      </m:sSub>
                    </m:e>
                  </m:nary>
                </m:e>
              </m:nary>
            </m:oMath>
            <w:r>
              <w:t xml:space="preserve"> </w:t>
            </w:r>
          </w:p>
        </w:tc>
        <w:tc>
          <w:tcPr>
            <w:tcW w:w="1792" w:type="dxa"/>
          </w:tcPr>
          <w:p w14:paraId="71A5D109" w14:textId="77777777" w:rsidR="00B515F2" w:rsidRPr="00005A65" w:rsidRDefault="00B515F2" w:rsidP="003B0CAF">
            <w:pPr>
              <w:rPr>
                <w:rFonts w:eastAsiaTheme="minorEastAsia"/>
              </w:rPr>
            </w:pPr>
            <m:oMathPara>
              <m:oMath>
                <m:r>
                  <w:rPr>
                    <w:rFonts w:ascii="Cambria Math" w:eastAsiaTheme="minorEastAsia" w:hAnsi="Cambria Math"/>
                  </w:rPr>
                  <m:t>H∈</m:t>
                </m:r>
                <m:r>
                  <w:rPr>
                    <w:rFonts w:ascii="Cambria Math" w:hAnsi="Cambria Math"/>
                  </w:rPr>
                  <m:t>[0, ∞)</m:t>
                </m:r>
              </m:oMath>
            </m:oMathPara>
          </w:p>
        </w:tc>
      </w:tr>
      <w:tr w:rsidR="00B515F2" w14:paraId="0BB99192" w14:textId="77777777" w:rsidTr="003B0CAF">
        <w:trPr>
          <w:cantSplit/>
          <w:trHeight w:val="260"/>
        </w:trPr>
        <w:tc>
          <w:tcPr>
            <w:tcW w:w="2950" w:type="dxa"/>
          </w:tcPr>
          <w:p w14:paraId="250F4CE2" w14:textId="77777777" w:rsidR="00B515F2" w:rsidRDefault="00B515F2" w:rsidP="003B0CAF">
            <w:r>
              <w:t>Ploidy proportion*</w:t>
            </w:r>
          </w:p>
        </w:tc>
        <w:tc>
          <w:tcPr>
            <w:tcW w:w="3317" w:type="dxa"/>
          </w:tcPr>
          <w:p w14:paraId="57053A64" w14:textId="77777777" w:rsidR="00B515F2" w:rsidRDefault="00B515F2" w:rsidP="003B0CAF">
            <w:pPr>
              <w:rPr>
                <w:rFonts w:eastAsia="Calibri" w:cs="Times New Roman"/>
              </w:rPr>
            </w:pP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m:t>
              </m:r>
            </m:oMath>
            <w:r>
              <w:t xml:space="preserve"> </w:t>
            </w:r>
          </w:p>
        </w:tc>
        <w:tc>
          <w:tcPr>
            <w:tcW w:w="1792" w:type="dxa"/>
          </w:tcPr>
          <w:p w14:paraId="7E9DEDD2" w14:textId="77777777" w:rsidR="00B515F2" w:rsidRDefault="00B515F2" w:rsidP="003B0CAF">
            <w:pPr>
              <w:rPr>
                <w:rFonts w:eastAsia="Calibri"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 xml:space="preserve">A,D,P </m:t>
                    </m:r>
                  </m:sub>
                </m:sSub>
                <m:r>
                  <w:rPr>
                    <w:rFonts w:ascii="Cambria Math" w:eastAsiaTheme="minorEastAsia" w:hAnsi="Cambria Math"/>
                  </w:rPr>
                  <m:t>∈</m:t>
                </m:r>
                <m:r>
                  <w:rPr>
                    <w:rFonts w:ascii="Cambria Math" w:hAnsi="Cambria Math"/>
                  </w:rPr>
                  <m:t>[0, 1]</m:t>
                </m:r>
              </m:oMath>
            </m:oMathPara>
          </w:p>
        </w:tc>
      </w:tr>
    </w:tbl>
    <w:p w14:paraId="69124050" w14:textId="1DE8ED78" w:rsidR="00B515F2" w:rsidRDefault="00B515F2" w:rsidP="00B515F2">
      <w:pPr>
        <w:rPr>
          <w:rFonts w:eastAsiaTheme="minorEastAsia"/>
        </w:rPr>
      </w:pPr>
      <w:bookmarkStart w:id="1" w:name="_Ref513639080"/>
      <w:r w:rsidRPr="00F417E4">
        <w:rPr>
          <w:b/>
        </w:rPr>
        <w:t xml:space="preserve">Table </w:t>
      </w:r>
      <w:r w:rsidRPr="00F417E4">
        <w:rPr>
          <w:b/>
        </w:rPr>
        <w:fldChar w:fldCharType="begin"/>
      </w:r>
      <w:r w:rsidRPr="00F417E4">
        <w:rPr>
          <w:b/>
        </w:rPr>
        <w:instrText xml:space="preserve"> SEQ Table \* ARABIC </w:instrText>
      </w:r>
      <w:r w:rsidRPr="00F417E4">
        <w:rPr>
          <w:b/>
        </w:rPr>
        <w:fldChar w:fldCharType="separate"/>
      </w:r>
      <w:r>
        <w:rPr>
          <w:b/>
          <w:noProof/>
        </w:rPr>
        <w:t>1</w:t>
      </w:r>
      <w:r w:rsidRPr="00F417E4">
        <w:rPr>
          <w:b/>
          <w:noProof/>
        </w:rPr>
        <w:fldChar w:fldCharType="end"/>
      </w:r>
      <w:bookmarkEnd w:id="1"/>
      <w:r w:rsidRPr="00F417E4">
        <w:rPr>
          <w:b/>
        </w:rPr>
        <w:t>. Scores and indices used to quantify aneuploidy.</w:t>
      </w:r>
      <w:r>
        <w:t xml:space="preserve"> </w:t>
      </w:r>
      <w:r>
        <w:rPr>
          <w:rFonts w:eastAsiaTheme="minorEastAsia"/>
        </w:rPr>
        <w:t xml:space="preserve">For the instability index, </w:t>
      </w:r>
      <m:oMath>
        <m:r>
          <w:rPr>
            <w:rFonts w:ascii="Cambria Math" w:eastAsiaTheme="minorEastAsia" w:hAnsi="Cambria Math"/>
          </w:rPr>
          <m:t>T</m:t>
        </m:r>
      </m:oMath>
      <w:r>
        <w:rPr>
          <w:rFonts w:eastAsiaTheme="minorEastAsia"/>
        </w:rPr>
        <w:t xml:space="preserve"> = the number of unique chromosomes examined.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Pr>
          <w:rFonts w:eastAsiaTheme="minorEastAsia"/>
        </w:rPr>
        <w:t xml:space="preserve"> is the number of cells containing the modal number of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w:t>
      </w:r>
      <m:oMath>
        <m:r>
          <w:rPr>
            <w:rFonts w:ascii="Cambria Math" w:eastAsiaTheme="minorEastAsia" w:hAnsi="Cambria Math"/>
          </w:rPr>
          <m:t>N</m:t>
        </m:r>
      </m:oMath>
      <w:r>
        <w:rPr>
          <w:rFonts w:eastAsiaTheme="minorEastAsia"/>
        </w:rPr>
        <w:t xml:space="preserve"> is the number of cells </w:t>
      </w:r>
      <w:proofErr w:type="gramStart"/>
      <w:r>
        <w:rPr>
          <w:rFonts w:eastAsiaTheme="minorEastAsia"/>
        </w:rPr>
        <w:t>examined.</w:t>
      </w:r>
      <w:proofErr w:type="gramEnd"/>
      <w:r>
        <w:rPr>
          <w:rFonts w:eastAsiaTheme="minorEastAsia"/>
        </w:rPr>
        <w:t xml:space="preserve"> For the ANCA score, </w:t>
      </w:r>
      <m:oMath>
        <m:sSub>
          <m:sSubPr>
            <m:ctrlPr>
              <w:rPr>
                <w:rFonts w:ascii="Cambria Math" w:hAnsi="Cambria Math"/>
                <w:i/>
              </w:rPr>
            </m:ctrlPr>
          </m:sSubPr>
          <m:e>
            <m:r>
              <w:rPr>
                <w:rFonts w:ascii="Cambria Math" w:hAnsi="Cambria Math"/>
              </w:rPr>
              <m:t>q</m:t>
            </m:r>
          </m:e>
          <m:sub>
            <m:r>
              <w:rPr>
                <w:rFonts w:ascii="Cambria Math" w:hAnsi="Cambria Math"/>
              </w:rPr>
              <m:t>n</m:t>
            </m:r>
          </m:sub>
        </m:sSub>
      </m:oMath>
      <w:r>
        <w:rPr>
          <w:rFonts w:eastAsiaTheme="minorEastAsia"/>
        </w:rPr>
        <w:t xml:space="preserve"> is the number of chromosomal aberrations observed in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Pr>
          <w:rFonts w:eastAsiaTheme="minorEastAsia"/>
        </w:rPr>
        <w:t xml:space="preserve"> cell. For the aneuploidy score, </w:t>
      </w:r>
      <m:oMath>
        <m:sSub>
          <m:sSubPr>
            <m:ctrlPr>
              <w:rPr>
                <w:rFonts w:ascii="Cambria Math" w:hAnsi="Cambria Math"/>
                <w:i/>
              </w:rPr>
            </m:ctrlPr>
          </m:sSubPr>
          <m:e>
            <m:r>
              <w:rPr>
                <w:rFonts w:ascii="Cambria Math" w:hAnsi="Cambria Math"/>
              </w:rPr>
              <m:t>c</m:t>
            </m:r>
          </m:e>
          <m:sub>
            <w:proofErr w:type="gramStart"/>
            <m:r>
              <w:rPr>
                <w:rFonts w:ascii="Cambria Math" w:hAnsi="Cambria Math"/>
              </w:rPr>
              <m:t>n,t</m:t>
            </m:r>
            <w:proofErr w:type="gramEnd"/>
          </m:sub>
        </m:sSub>
      </m:oMath>
      <w:r>
        <w:rPr>
          <w:rFonts w:eastAsiaTheme="minorEastAsia"/>
        </w:rPr>
        <w:t xml:space="preserve"> is the</w:t>
      </w:r>
      <w:bookmarkStart w:id="2" w:name="_GoBack"/>
      <w:bookmarkEnd w:id="2"/>
      <w:r>
        <w:rPr>
          <w:rFonts w:eastAsiaTheme="minorEastAsia"/>
        </w:rPr>
        <w:t xml:space="preserve"> copy number of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Pr>
          <w:rFonts w:eastAsiaTheme="minorEastAsia"/>
        </w:rPr>
        <w:t xml:space="preserve"> cell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eastAsiaTheme="minorEastAsia"/>
        </w:rPr>
        <w:t xml:space="preserve"> is the euploid copy number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Pr>
          <w:rFonts w:eastAsiaTheme="minorEastAsia"/>
        </w:rPr>
        <w:t xml:space="preserve"> chromosome. For the heterogeneity score, </w:t>
      </w:r>
      <m:oMath>
        <m:r>
          <w:rPr>
            <w:rFonts w:ascii="Cambria Math" w:eastAsiaTheme="minorEastAsia" w:hAnsi="Cambria Math"/>
          </w:rPr>
          <m:t>S</m:t>
        </m:r>
      </m:oMath>
      <w:r>
        <w:rPr>
          <w:rFonts w:eastAsiaTheme="minorEastAsia"/>
        </w:rPr>
        <w:t xml:space="preserve"> i</w:t>
      </w:r>
      <w:proofErr w:type="spellStart"/>
      <w:r>
        <w:rPr>
          <w:rFonts w:eastAsiaTheme="minorEastAsia"/>
        </w:rPr>
        <w:t>s</w:t>
      </w:r>
      <w:proofErr w:type="spellEnd"/>
      <w:r>
        <w:rPr>
          <w:rFonts w:eastAsiaTheme="minorEastAsia"/>
        </w:rPr>
        <w:t xml:space="preserve"> the total number of copy number states. </w:t>
      </w:r>
      <m:oMath>
        <m:sSub>
          <m:sSubPr>
            <m:ctrlPr>
              <w:rPr>
                <w:rFonts w:ascii="Cambria Math" w:hAnsi="Cambria Math"/>
                <w:i/>
              </w:rPr>
            </m:ctrlPr>
          </m:sSubPr>
          <m:e>
            <m:r>
              <w:rPr>
                <w:rFonts w:ascii="Cambria Math" w:hAnsi="Cambria Math"/>
              </w:rPr>
              <m:t>m</m:t>
            </m:r>
          </m:e>
          <m:sub>
            <m:r>
              <w:rPr>
                <w:rFonts w:ascii="Cambria Math" w:hAnsi="Cambria Math"/>
              </w:rPr>
              <m:t>f,t</m:t>
            </m:r>
          </m:sub>
        </m:sSub>
      </m:oMath>
      <w:r>
        <w:rPr>
          <w:rFonts w:eastAsiaTheme="minorEastAsia"/>
        </w:rPr>
        <w:t xml:space="preserve"> is the number of cells with copy number state </w:t>
      </w:r>
      <m:oMath>
        <m:r>
          <w:rPr>
            <w:rFonts w:ascii="Cambria Math" w:eastAsiaTheme="minorEastAsia" w:hAnsi="Cambria Math"/>
          </w:rPr>
          <m:t>s</m:t>
        </m:r>
      </m:oMath>
      <w:r>
        <w:rPr>
          <w:rFonts w:eastAsiaTheme="minorEastAsia"/>
        </w:rPr>
        <w:t xml:space="preserve"> at bin </w:t>
      </w:r>
      <w:proofErr w:type="gramStart"/>
      <m:oMath>
        <m:r>
          <w:rPr>
            <w:rFonts w:ascii="Cambria Math" w:eastAsiaTheme="minorEastAsia" w:hAnsi="Cambria Math"/>
          </w:rPr>
          <m:t>t</m:t>
        </m:r>
      </m:oMath>
      <w:r>
        <w:rPr>
          <w:rFonts w:eastAsiaTheme="minorEastAsia"/>
        </w:rPr>
        <w:t>.</w:t>
      </w:r>
      <w:proofErr w:type="gramEnd"/>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f,t</m:t>
            </m:r>
          </m:sub>
        </m:sSub>
      </m:oMath>
      <w:r>
        <w:rPr>
          <w:rFonts w:eastAsiaTheme="minorEastAsia"/>
        </w:rPr>
        <w:t xml:space="preserve"> is ordered such that </w:t>
      </w:r>
      <m:oMath>
        <m:sSub>
          <m:sSubPr>
            <m:ctrlPr>
              <w:rPr>
                <w:rFonts w:ascii="Cambria Math" w:hAnsi="Cambria Math"/>
                <w:i/>
              </w:rPr>
            </m:ctrlPr>
          </m:sSubPr>
          <m:e>
            <m:r>
              <w:rPr>
                <w:rFonts w:ascii="Cambria Math" w:hAnsi="Cambria Math"/>
              </w:rPr>
              <m:t>m</m:t>
            </m:r>
          </m:e>
          <m:sub>
            <m:r>
              <w:rPr>
                <w:rFonts w:ascii="Cambria Math" w:hAnsi="Cambria Math"/>
              </w:rPr>
              <m:t>f=</m:t>
            </m:r>
            <w:proofErr w:type="gramStart"/>
            <m:r>
              <w:rPr>
                <w:rFonts w:ascii="Cambria Math" w:hAnsi="Cambria Math"/>
              </w:rPr>
              <m:t>0,t</m:t>
            </m:r>
            <w:proofErr w:type="gramEnd"/>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f=1,t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f=S</m:t>
            </m:r>
            <m:r>
              <w:rPr>
                <w:rFonts w:ascii="Cambria Math" w:hAnsi="Cambria Math"/>
              </w:rPr>
              <m:t>-1</m:t>
            </m:r>
            <m:r>
              <w:rPr>
                <w:rFonts w:ascii="Cambria Math" w:hAnsi="Cambria Math"/>
              </w:rPr>
              <m:t>,t</m:t>
            </m:r>
          </m:sub>
        </m:sSub>
      </m:oMath>
      <w:r>
        <w:rPr>
          <w:rFonts w:eastAsiaTheme="minorEastAsia"/>
        </w:rPr>
        <w:t xml:space="preserve">. For the ploidy proportion,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Pr>
          <w:rFonts w:eastAsiaTheme="minorEastAsia"/>
        </w:rPr>
        <w:t xml:space="preserve"> is the proportion of cells that are aneuploid,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Pr>
          <w:rFonts w:eastAsiaTheme="minorEastAsia"/>
        </w:rPr>
        <w:t xml:space="preserve"> is the proportion of cells that are diploid, and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Pr>
          <w:rFonts w:eastAsiaTheme="minorEastAsia"/>
        </w:rPr>
        <w:t xml:space="preserve"> is the proportion of cells that are polyploid. </w:t>
      </w:r>
    </w:p>
    <w:p w14:paraId="09C3EA88" w14:textId="77777777" w:rsidR="00B515F2" w:rsidRDefault="00B515F2" w:rsidP="00D1166C"/>
    <w:p w14:paraId="3C091C47" w14:textId="77777777" w:rsidR="00B515F2" w:rsidRPr="00D1166C" w:rsidRDefault="00B515F2" w:rsidP="00D1166C"/>
    <w:p w14:paraId="29562904" w14:textId="13F29E33" w:rsidR="00E56A22" w:rsidRPr="002A59BB" w:rsidRDefault="00E56A22" w:rsidP="00D1166C">
      <w:pPr>
        <w:rPr>
          <w:b/>
        </w:rPr>
      </w:pPr>
      <w:r w:rsidRPr="002A59BB">
        <w:rPr>
          <w:b/>
        </w:rPr>
        <w:t>Introduction</w:t>
      </w:r>
    </w:p>
    <w:p w14:paraId="69704ACE" w14:textId="77777777" w:rsidR="00E56A22" w:rsidRPr="00D1166C" w:rsidRDefault="00E56A22" w:rsidP="00D1166C"/>
    <w:p w14:paraId="771DA517" w14:textId="6DEB77F8" w:rsidR="00001109" w:rsidRDefault="00421616" w:rsidP="00D1166C">
      <w:r>
        <w:t xml:space="preserve">In humans, alterations in chromosome number are a source of </w:t>
      </w:r>
      <w:r w:rsidR="00B44D8A">
        <w:t>congenital</w:t>
      </w:r>
      <w:r>
        <w:t xml:space="preserve"> disease and a predisposing factor for carcinogenesis.</w:t>
      </w:r>
      <w:r w:rsidR="00AA336C">
        <w:t xml:space="preserve"> </w:t>
      </w:r>
      <w:r w:rsidR="00B44D8A">
        <w:t>Increased variability in the karyotype</w:t>
      </w:r>
      <w:r w:rsidR="00361B76">
        <w:t>s</w:t>
      </w:r>
      <w:r w:rsidR="00B44D8A">
        <w:t xml:space="preserve"> of cancer cell populations is also associated with resistance to chemotherapy and </w:t>
      </w:r>
      <w:r w:rsidR="00361B76">
        <w:t xml:space="preserve">poor clinical outcomes. </w:t>
      </w:r>
      <w:r w:rsidR="00B44D8A">
        <w:t>Alte</w:t>
      </w:r>
      <w:r w:rsidR="00B75286">
        <w:t xml:space="preserve">rations in chromosome number are </w:t>
      </w:r>
      <w:r w:rsidR="00B44D8A">
        <w:t xml:space="preserve">a sign of chromosomal instability, which can lead to cancer therapeutic resistance. </w:t>
      </w:r>
      <w:r w:rsidR="00001109">
        <w:t>The precise mechanisms of chromosomal instability and aneuploidy are under investigation and could lead to a better understanding of oncogenesis and</w:t>
      </w:r>
      <w:r w:rsidR="00B75286">
        <w:t xml:space="preserve"> cellular aging. However,</w:t>
      </w:r>
    </w:p>
    <w:p w14:paraId="6E0A95A3" w14:textId="77777777" w:rsidR="007261E8" w:rsidRDefault="007261E8" w:rsidP="00D1166C"/>
    <w:p w14:paraId="48AA4531" w14:textId="12EBEA7B" w:rsidR="00D247AF" w:rsidRPr="00D247AF" w:rsidRDefault="00D247AF" w:rsidP="00D1166C">
      <w:pPr>
        <w:rPr>
          <w:i/>
        </w:rPr>
      </w:pPr>
      <w:r w:rsidRPr="00D247AF">
        <w:rPr>
          <w:i/>
        </w:rPr>
        <w:t>Approaches to detecting numerical chromosomal variation</w:t>
      </w:r>
    </w:p>
    <w:p w14:paraId="66B58619" w14:textId="6862D6FB" w:rsidR="007261E8" w:rsidRDefault="007261E8" w:rsidP="00D1166C">
      <w:r>
        <w:t>The various approaches to measuring and quantifying the numerical chromosomal state of a cell each have their advantages and disadvantages. Single cell whole genome DNA sequencing is touted as the next generation approach to quantifying aneuploidy at a genome-wide scale, yet it suffers from sensitivity issues. Fluorescent based approaches may be more sensitive at detecting</w:t>
      </w:r>
      <w:r w:rsidR="00B765B4">
        <w:t xml:space="preserve"> individual chromosomal changes and, unlike with whole genome sequencing, the ploidy can be determined through direct visualization.</w:t>
      </w:r>
      <w:r>
        <w:t xml:space="preserve"> </w:t>
      </w:r>
      <w:r w:rsidR="00B765B4">
        <w:t xml:space="preserve">However, microscopy-based approaches are </w:t>
      </w:r>
      <w:r>
        <w:t>relatively low throughput</w:t>
      </w:r>
      <w:r w:rsidR="00B765B4">
        <w:t xml:space="preserve"> and are limited in the number of chromosomes that can be detected at one time.</w:t>
      </w:r>
      <w:r>
        <w:t xml:space="preserve"> </w:t>
      </w:r>
    </w:p>
    <w:p w14:paraId="69189015" w14:textId="77777777" w:rsidR="00DD77DA" w:rsidRDefault="00DD77DA" w:rsidP="00D1166C"/>
    <w:p w14:paraId="215DBAAB" w14:textId="3851022C" w:rsidR="00D247AF" w:rsidRPr="00D247AF" w:rsidRDefault="00D247AF" w:rsidP="00D1166C">
      <w:pPr>
        <w:rPr>
          <w:i/>
        </w:rPr>
      </w:pPr>
      <w:r>
        <w:rPr>
          <w:i/>
        </w:rPr>
        <w:t>Study design for investigating mechanisms of aneuploidy</w:t>
      </w:r>
    </w:p>
    <w:p w14:paraId="64FCB83F" w14:textId="77274DF9" w:rsidR="00001109" w:rsidRDefault="00DD77DA" w:rsidP="00D1166C">
      <w:r>
        <w:t xml:space="preserve">One common mode of investigation into the mechanisms of aneuploidy involves a control-treatment study design, in which cells or animals are exposed to a variety of stressors, such as genetic perturbations or small molecule inhibition, followed by the documentation of the </w:t>
      </w:r>
      <w:r w:rsidR="006367B9">
        <w:lastRenderedPageBreak/>
        <w:t>numerical variability in chromosomes</w:t>
      </w:r>
      <w:r>
        <w:t xml:space="preserve"> within a set of </w:t>
      </w:r>
      <w:r w:rsidR="006367B9">
        <w:t xml:space="preserve">single </w:t>
      </w:r>
      <w:r>
        <w:t xml:space="preserve">cells </w:t>
      </w:r>
      <w:r w:rsidR="006367B9">
        <w:t>exposed to</w:t>
      </w:r>
      <w:r>
        <w:t xml:space="preserve"> </w:t>
      </w:r>
      <w:r w:rsidR="006367B9">
        <w:t>a given</w:t>
      </w:r>
      <w:r>
        <w:t xml:space="preserve"> stressor.</w:t>
      </w:r>
      <w:r w:rsidR="006367B9">
        <w:t xml:space="preserve"> Stressors that induce more numerical chromosome aberrations can be mechanistically associated with driving aneuploidy. It is often of interest to </w:t>
      </w:r>
      <w:r w:rsidR="007E3C55">
        <w:t xml:space="preserve">quantify </w:t>
      </w:r>
      <w:r w:rsidR="006367B9">
        <w:t xml:space="preserve">the effect of a treatment on </w:t>
      </w:r>
      <w:r w:rsidR="007E3C55">
        <w:t xml:space="preserve">the chromosomal state in </w:t>
      </w:r>
      <w:r w:rsidR="006367B9">
        <w:t xml:space="preserve">a population of single cells, along with </w:t>
      </w:r>
      <w:r w:rsidR="007261E8">
        <w:t xml:space="preserve">a measure of statistical significance for difference from a control or from other treatment states. </w:t>
      </w:r>
      <w:r w:rsidR="006367B9">
        <w:t xml:space="preserve">However, there is a lack of definitive, unbiased, </w:t>
      </w:r>
      <w:r w:rsidR="007E3C55">
        <w:t xml:space="preserve">robust, </w:t>
      </w:r>
      <w:r w:rsidR="006367B9">
        <w:t>and easy-to-use methods for biologists to draw these conclusions.</w:t>
      </w:r>
    </w:p>
    <w:p w14:paraId="18B42732" w14:textId="77777777" w:rsidR="00071078" w:rsidRDefault="00071078" w:rsidP="00D1166C"/>
    <w:p w14:paraId="45F40445" w14:textId="55DEC68A" w:rsidR="00071078" w:rsidRDefault="00071078" w:rsidP="00D1166C">
      <w:pPr>
        <w:rPr>
          <w:i/>
        </w:rPr>
      </w:pPr>
      <w:r>
        <w:rPr>
          <w:i/>
        </w:rPr>
        <w:t>The importance of characterizing ploidy</w:t>
      </w:r>
    </w:p>
    <w:p w14:paraId="5FFD2B38" w14:textId="58B78D83" w:rsidR="00C7101F" w:rsidRDefault="00361B76" w:rsidP="00D1166C">
      <w:r>
        <w:t xml:space="preserve">In a cell, there are three possible states that a set of chromosomes can have. </w:t>
      </w:r>
      <w:proofErr w:type="spellStart"/>
      <w:r>
        <w:t>Diploidy</w:t>
      </w:r>
      <w:proofErr w:type="spellEnd"/>
      <w:r>
        <w:t xml:space="preserve"> refers to the presence of two copies of each </w:t>
      </w:r>
      <w:r w:rsidR="00867BF1">
        <w:t xml:space="preserve">autosome in a cell, and is the physiologic state of most non-cancerous human cells. </w:t>
      </w:r>
      <w:r>
        <w:t>Polypl</w:t>
      </w:r>
      <w:r w:rsidR="00C7101F">
        <w:t>oidy refers to an integer-valued</w:t>
      </w:r>
      <w:r>
        <w:t xml:space="preserve"> increase in the number of chromosomes, often </w:t>
      </w:r>
      <w:r w:rsidR="005844B7">
        <w:t>resulting from</w:t>
      </w:r>
      <w:r>
        <w:t xml:space="preserve"> whole-genome duplication.</w:t>
      </w:r>
      <w:r w:rsidR="003F3F3D">
        <w:t xml:space="preserve"> </w:t>
      </w:r>
      <w:proofErr w:type="spellStart"/>
      <w:r w:rsidR="00AB478E">
        <w:t>Polyploidization</w:t>
      </w:r>
      <w:proofErr w:type="spellEnd"/>
      <w:r w:rsidR="00AB478E">
        <w:t xml:space="preserve"> is </w:t>
      </w:r>
      <w:r w:rsidR="00BA292C">
        <w:t xml:space="preserve">a characteristic of cancer cells that resume growth after </w:t>
      </w:r>
      <w:r w:rsidR="0006194A">
        <w:t xml:space="preserve">chemotherapeutic treatment </w:t>
      </w:r>
      <w:r w:rsidR="0006194A" w:rsidRPr="0006194A">
        <w:rPr>
          <w:i/>
        </w:rPr>
        <w:t>in vitro</w:t>
      </w:r>
      <w:r w:rsidR="00BA292C">
        <w:rPr>
          <w:i/>
        </w:rPr>
        <w:fldChar w:fldCharType="begin" w:fldLock="1"/>
      </w:r>
      <w:r w:rsidR="00AA6196">
        <w:rPr>
          <w:i/>
        </w:rPr>
        <w:instrText>ADDIN CSL_CITATION { "citationItems" : [ { "id" : "ITEM-1", "itemData" : { "DOI" : "10.1016/j.neo.2015.11.008", "ISSN" : "1476-5586", "PMID" : "26696370", "abstract" : "Cancer cells can undergo stress-induced premature senescence, which is considered to be a desirable outcome of anticancer treatment. However, the escape from senescence and cancer cell repopulation give rise to some doubts concerning the effectiveness of the senescence-induced anticancer therapy. Similarly, it is postulated that polyploidization of cancer cells is connected with disease relapse. We postulate that cancer cell polyploidization associated with senescence is the culprit of atypical cell divisions leading to cancer cell regrowth. Accordingly, we aimed to dissociate between these two phenomena. We induced senescence in HCT 116 cells by pulse treatment with doxorubicin and observed transiently increased ploidy, abnormal nuclear morphology, and various distributions of some proteins (e.g., p21, Ki-67, SA-\u03b2-galactosidase) in the subnuclei. Doxorubicin-treated HCT 116 cells displayed an increased production of reactive oxygen species (ROS) possibly caused by an increased amount of mitochondria, which are characterized by low membrane potential. A decrease in the level of ROS by Trolox partially protected the cells from polyploidization but not from senescence. Interestingly, a decreased level of ROS prevented the cells from escaping senescence. We also show that MCF7 cells senesce, but this is not accompanied by the increase of ploidy upon doxorubicin treatment. Moreover, they were stably growth arrested, thus proving that polyploidy but not senescence per se enables to regain the ability to proliferate. Our preliminary results indicate that the different propensity of the HCT 116 and MCF7 cells to increase ploidy upon cell senescence could be caused by a different level of the mTOR and/or Pim-1 kinases.", "author" : [ { "dropping-particle" : "", "family" : "Mosieniak", "given" : "Grazyna", "non-dropping-particle" : "", "parse-names" : false, "suffix" : "" }, { "dropping-particle" : "", "family" : "Sliwinska", "given" : "Malgorzata A", "non-dropping-particle" : "", "parse-names" : false, "suffix" : "" }, { "dropping-particle" : "", "family" : "Alster", "given" : "Olga", "non-dropping-particle" : "", "parse-names" : false, "suffix" : "" }, { "dropping-particle" : "", "family" : "Strzeszewska", "given" : "Anna", "non-dropping-particle" : "", "parse-names" : false, "suffix" : "" }, { "dropping-particle" : "", "family" : "Sunderland", "given" : "Piotr", "non-dropping-particle" : "", "parse-names" : false, "suffix" : "" }, { "dropping-particle" : "", "family" : "Piechota", "given" : "Malgorzata", "non-dropping-particle" : "", "parse-names" : false, "suffix" : "" }, { "dropping-particle" : "", "family" : "Was", "given" : "Halina", "non-dropping-particle" : "", "parse-names" : false, "suffix" : "" }, { "dropping-particle" : "", "family" : "Sikora", "given" : "Ewa", "non-dropping-particle" : "", "parse-names" : false, "suffix" : "" } ], "container-title" : "Neoplasia", "id" : "ITEM-1", "issue" : "12", "issued" : { "date-parts" : [ [ "2015", "12" ] ] }, "page" : "882-893", "publisher" : "Neoplasia Press", "title" : "Polyploidy Formation in Doxorubicin-Treated Cancer Cells Can Favor Escape from Senescence", "type" : "article-journal", "volume" : "17" }, "uris" : [ "http://www.mendeley.com/documents/?uuid=3b0fd47c-e602-355a-a0ef-f6661d1ed742" ] } ], "mendeley" : { "formattedCitation" : "&lt;sup&gt;6&lt;/sup&gt;", "plainTextFormattedCitation" : "6", "previouslyFormattedCitation" : "&lt;sup&gt;6&lt;/sup&gt;" }, "properties" : {  }, "schema" : "https://github.com/citation-style-language/schema/raw/master/csl-citation.json" }</w:instrText>
      </w:r>
      <w:r w:rsidR="00BA292C">
        <w:rPr>
          <w:i/>
        </w:rPr>
        <w:fldChar w:fldCharType="separate"/>
      </w:r>
      <w:r w:rsidR="00AA6196" w:rsidRPr="00AA6196">
        <w:rPr>
          <w:noProof/>
          <w:vertAlign w:val="superscript"/>
        </w:rPr>
        <w:t>6</w:t>
      </w:r>
      <w:r w:rsidR="00BA292C">
        <w:rPr>
          <w:i/>
        </w:rPr>
        <w:fldChar w:fldCharType="end"/>
      </w:r>
      <w:r w:rsidR="00BA292C">
        <w:t xml:space="preserve"> and is thus important to study</w:t>
      </w:r>
      <w:r w:rsidR="0006194A">
        <w:t xml:space="preserve">. </w:t>
      </w:r>
      <w:r w:rsidR="00F82422">
        <w:t>A</w:t>
      </w:r>
      <w:r w:rsidR="00C7101F">
        <w:t xml:space="preserve">neuploidy occurs </w:t>
      </w:r>
      <w:r w:rsidR="00F82422">
        <w:t>when</w:t>
      </w:r>
      <w:r w:rsidR="00C7101F">
        <w:t xml:space="preserve"> </w:t>
      </w:r>
      <w:r w:rsidR="00F82422">
        <w:t>the copy number of 1 or more chromosomes differs from the others</w:t>
      </w:r>
      <w:r w:rsidR="00071078">
        <w:t xml:space="preserve"> and is a feature of many cancers</w:t>
      </w:r>
      <w:r w:rsidR="00F82422">
        <w:t>.</w:t>
      </w:r>
      <w:r w:rsidR="00C20EF9">
        <w:t xml:space="preserve"> </w:t>
      </w:r>
    </w:p>
    <w:p w14:paraId="74D2C240" w14:textId="77777777" w:rsidR="00C7101F" w:rsidRDefault="00C7101F" w:rsidP="00D1166C"/>
    <w:p w14:paraId="4F9BC47B" w14:textId="18A26D6C" w:rsidR="00237C36" w:rsidRDefault="00237C36" w:rsidP="00237C36">
      <w:r>
        <w:t xml:space="preserve">Here, we introduce </w:t>
      </w:r>
      <w:proofErr w:type="spellStart"/>
      <w:r>
        <w:t>aneuvis</w:t>
      </w:r>
      <w:proofErr w:type="spellEnd"/>
      <w:r>
        <w:t xml:space="preserve">, a user-friendly web application for visualizing and summarizing numerical chromosomal changes. A tutorial video is available to guide users through the interface. </w:t>
      </w:r>
      <w:proofErr w:type="spellStart"/>
      <w:r w:rsidR="00710C4F">
        <w:t>Aneuvis</w:t>
      </w:r>
      <w:proofErr w:type="spellEnd"/>
      <w:r w:rsidR="00710C4F">
        <w:t xml:space="preserve"> is freely available for researchers to use online, and the source code is available online.</w:t>
      </w:r>
    </w:p>
    <w:p w14:paraId="1962469F" w14:textId="77777777" w:rsidR="00C52C11" w:rsidRDefault="00C52C11" w:rsidP="00D1166C"/>
    <w:p w14:paraId="2BB72752" w14:textId="77777777" w:rsidR="00237C36" w:rsidRDefault="00237C36" w:rsidP="00D1166C"/>
    <w:p w14:paraId="12F9B7DE" w14:textId="55F4CF07" w:rsidR="00237C36" w:rsidRPr="00237C36" w:rsidRDefault="00237C36" w:rsidP="00D1166C">
      <w:pPr>
        <w:rPr>
          <w:b/>
        </w:rPr>
      </w:pPr>
      <w:r w:rsidRPr="00237C36">
        <w:rPr>
          <w:b/>
        </w:rPr>
        <w:t>Results</w:t>
      </w:r>
    </w:p>
    <w:p w14:paraId="67D369E3" w14:textId="77777777" w:rsidR="002B577C" w:rsidRDefault="002B577C" w:rsidP="002B577C"/>
    <w:p w14:paraId="6632D858" w14:textId="11859F8C" w:rsidR="002B577C" w:rsidRDefault="002B577C" w:rsidP="002B577C">
      <w:r>
        <w:rPr>
          <w:i/>
        </w:rPr>
        <w:t>O</w:t>
      </w:r>
      <w:r w:rsidRPr="002B577C">
        <w:rPr>
          <w:i/>
        </w:rPr>
        <w:t>verview</w:t>
      </w:r>
      <w:r>
        <w:rPr>
          <w:i/>
        </w:rPr>
        <w:t xml:space="preserve"> of input</w:t>
      </w:r>
    </w:p>
    <w:p w14:paraId="47A28C73" w14:textId="77777777" w:rsidR="002B577C" w:rsidRDefault="002B577C" w:rsidP="002B577C">
      <w:r>
        <w:t>The idea behind this web application is to take in copy number data from different treatment groups and to output a summary of the relationship between different treatment groups. In addition, the same experimental treatments can be compared across multiple platforms to assess copy number (e.g. both FISH and whole genome sequencing).</w:t>
      </w:r>
      <w:r w:rsidRPr="002B577C">
        <w:t xml:space="preserve"> </w:t>
      </w:r>
      <w:proofErr w:type="spellStart"/>
      <w:r>
        <w:t>Aneuvis</w:t>
      </w:r>
      <w:proofErr w:type="spellEnd"/>
      <w:r>
        <w:t xml:space="preserve"> sits downstream of efforts to accurately estimate chromosomal copy number from a variety of types of data (</w:t>
      </w:r>
      <w:r w:rsidRPr="00F51B5F">
        <w:rPr>
          <w:b/>
        </w:rPr>
        <w:t>Figure 1</w:t>
      </w:r>
      <w:r>
        <w:t xml:space="preserve">). Indeed, its role is to help categorize between-group </w:t>
      </w:r>
    </w:p>
    <w:p w14:paraId="077E55F5" w14:textId="77777777" w:rsidR="002B577C" w:rsidRDefault="002B577C" w:rsidP="002B577C">
      <w:r>
        <w:t>Existing methodologies focus on the determination of chromosomal state from raw sequencing data and often output a cell-by-chromosome matrix containing the inferred number of chromosomes at each bin (</w:t>
      </w:r>
      <w:r w:rsidRPr="00E41002">
        <w:rPr>
          <w:b/>
        </w:rPr>
        <w:t>Figure 1b</w:t>
      </w:r>
      <w:r>
        <w:t xml:space="preserve">). </w:t>
      </w:r>
    </w:p>
    <w:p w14:paraId="2F23B25D" w14:textId="77777777" w:rsidR="002B577C" w:rsidRDefault="002B577C" w:rsidP="00D1166C">
      <w:pPr>
        <w:rPr>
          <w:i/>
        </w:rPr>
      </w:pPr>
    </w:p>
    <w:p w14:paraId="6A51BF8B" w14:textId="4689CA53" w:rsidR="00237C36" w:rsidRPr="002B577C" w:rsidRDefault="00237C36" w:rsidP="00D1166C">
      <w:pPr>
        <w:rPr>
          <w:i/>
        </w:rPr>
      </w:pPr>
      <w:r w:rsidRPr="00237C36">
        <w:rPr>
          <w:i/>
        </w:rPr>
        <w:t xml:space="preserve">Input </w:t>
      </w:r>
    </w:p>
    <w:p w14:paraId="5B04E4D4" w14:textId="4ECE9274" w:rsidR="002B577C" w:rsidRDefault="002B577C" w:rsidP="002B577C">
      <w:r>
        <w:t xml:space="preserve">There are three types of single-cell chromosomal data that can be uploaded into </w:t>
      </w:r>
      <w:proofErr w:type="spellStart"/>
      <w:r>
        <w:t>aneuvis</w:t>
      </w:r>
      <w:proofErr w:type="spellEnd"/>
      <w:r>
        <w:t>. First, fluorescence in situ hybridization (FISH) data, where the chromosome number is inferred from the number of distinct fluorescent probes, can be represented as a matrix where each column is a chromosome and each row is a separate biological cell. The numbers in the matrix represent the number of copies of a given chromosome for a given cell. The second type of data is single cell whole genome sequencing data. There are currently user-friendly programs, such as Ginkgo</w:t>
      </w:r>
      <w:r>
        <w:fldChar w:fldCharType="begin" w:fldLock="1"/>
      </w:r>
      <w:r w:rsidR="00AA6196">
        <w:instrText>ADDIN CSL_CITATION { "citationItems" : [ { "id" : "ITEM-1", "itemData" : { "DOI" : "10.1038/nmeth.3578", "ISBN" : "1548-7105 (Electronic) 1548-7091 (Linking)", "ISSN" : "1548-7091", "PMID" : "26344043", "abstract" : "Single-cell sequencing is emerging as a critical technology for understanding the biology of cancer, neurons, and other complex systems. Here we introduce Ginkgo, a web platform for the interactive analysis and quality assessment of single-cell copy-number alterations. Ginkgo fully automates the process of binning, normalizing, and segmenting mapped reads to infer copy number profiles of individual cells, as well as constructing phylogenetic trees of how those cells are related. We validate Ginkgo by reproducing the results of five major single-cell studies, and discuss how it addresses the wide array of biases that affect single-cell analysis. We also examine the data characteristics of three commonly used single-cell amplification techniques: MDA, MALBAC, and DOP-PCR/WGA4 through comparative analysis of 9 different single-cell datasets. We conclude that DOP-PCR provides the most uniform amplification, while MDA introduces substantial biases into the analysis. Furthermore, given the same level of coverage, our results indicate that data prepared using DOP-PCR can reliably call CNVs at higher resolution than data prepared using either MALBAC or MDA. Ginkgo is freely available at http://qb.cshl.edu/ginkgo.", "author" : [ { "dropping-particle" : "", "family" : "Garvin", "given" : "Tyler", "non-dropping-particle" : "", "parse-names" : false, "suffix" : "" }, { "dropping-particle" : "", "family" : "Aboukhalil", "given" : "Robert", "non-dropping-particle" : "", "parse-names" : false, "suffix" : "" }, { "dropping-particle" : "", "family" : "Kendall", "given" : "Jude", "non-dropping-particle" : "", "parse-names" : false, "suffix" : "" }, { "dropping-particle" : "", "family" : "Baslan", "given" : "Timour", "non-dropping-particle" : "", "parse-names" : false, "suffix" : "" }, { "dropping-particle" : "", "family" : "Atwal", "given" : "Gurinder S", "non-dropping-particle" : "", "parse-names" : false, "suffix" : "" }, { "dropping-particle" : "", "family" : "Hicks", "given" : "James", "non-dropping-particle" : "", "parse-names" : false, "suffix" : "" }, { "dropping-particle" : "", "family" : "Wigler", "given" : "Michael", "non-dropping-particle" : "", "parse-names" : false, "suffix" : "" }, { "dropping-particle" : "", "family" : "Schatz", "given" : "Michael C", "non-dropping-particle" : "", "parse-names" : false, "suffix" : "" } ], "container-title" : "Nature Methods", "id" : "ITEM-1", "issue" : "11", "issued" : { "date-parts" : [ [ "2015" ] ] }, "page" : "1058-1060", "title" : "Interactive analysis and assessment of single-cell copy-number variations", "type" : "article-journal", "volume" : "12" }, "uris" : [ "http://www.mendeley.com/documents/?uuid=00a31783-bfb2-4a49-b9ac-50a6ce9e97b0" ] } ], "mendeley" : { "formattedCitation" : "&lt;sup&gt;7&lt;/sup&gt;", "plainTextFormattedCitation" : "7", "previouslyFormattedCitation" : "&lt;sup&gt;7&lt;/sup&gt;" }, "properties" : {  }, "schema" : "https://github.com/citation-style-language/schema/raw/master/csl-citation.json" }</w:instrText>
      </w:r>
      <w:r>
        <w:fldChar w:fldCharType="separate"/>
      </w:r>
      <w:r w:rsidR="00AA6196" w:rsidRPr="00AA6196">
        <w:rPr>
          <w:noProof/>
          <w:vertAlign w:val="superscript"/>
        </w:rPr>
        <w:t>7</w:t>
      </w:r>
      <w:r>
        <w:fldChar w:fldCharType="end"/>
      </w:r>
      <w:r>
        <w:t xml:space="preserve">, for converting .bam files containing aligned reads obtained from DNA-sequencing to copy number data. </w:t>
      </w:r>
      <w:proofErr w:type="spellStart"/>
      <w:r>
        <w:t>Aneuvis</w:t>
      </w:r>
      <w:proofErr w:type="spellEnd"/>
      <w:r>
        <w:t xml:space="preserve"> will convert output </w:t>
      </w:r>
      <w:proofErr w:type="gramStart"/>
      <w:r>
        <w:t>in .bed</w:t>
      </w:r>
      <w:proofErr w:type="gramEnd"/>
      <w:r>
        <w:t xml:space="preserve"> format to a summarized copy number state using a weighted mean, where the copy number at each bin contributes proportionally to its overall size. Finally, SKY data can be input into </w:t>
      </w:r>
      <w:proofErr w:type="spellStart"/>
      <w:r>
        <w:t>aneuvis</w:t>
      </w:r>
      <w:proofErr w:type="spellEnd"/>
      <w:r>
        <w:t xml:space="preserve"> from an Excel spreadsheet that contains </w:t>
      </w:r>
      <w:r>
        <w:lastRenderedPageBreak/>
        <w:t xml:space="preserve">chromosomal counts and alterations formatted according to the International System for human </w:t>
      </w:r>
      <w:proofErr w:type="spellStart"/>
      <w:r>
        <w:t>Cytogenomic</w:t>
      </w:r>
      <w:proofErr w:type="spellEnd"/>
      <w:r>
        <w:t xml:space="preserve"> N</w:t>
      </w:r>
      <w:r w:rsidRPr="002F6091">
        <w:t xml:space="preserve">omenclature </w:t>
      </w:r>
      <w:r>
        <w:t>(ISCN). Copy number information is automatically extracted from these karyotypes.</w:t>
      </w:r>
    </w:p>
    <w:p w14:paraId="5E377B64" w14:textId="77777777" w:rsidR="002B577C" w:rsidRDefault="002B577C" w:rsidP="00D1166C">
      <w:pPr>
        <w:rPr>
          <w:i/>
        </w:rPr>
      </w:pPr>
    </w:p>
    <w:p w14:paraId="79857DEA" w14:textId="5D2E2424" w:rsidR="00001109" w:rsidRPr="00237C36" w:rsidRDefault="00237C36" w:rsidP="00D1166C">
      <w:pPr>
        <w:rPr>
          <w:i/>
        </w:rPr>
      </w:pPr>
      <w:r w:rsidRPr="00237C36">
        <w:rPr>
          <w:i/>
        </w:rPr>
        <w:t>Overview of output</w:t>
      </w:r>
      <w:r w:rsidR="00001109" w:rsidRPr="00237C36">
        <w:rPr>
          <w:i/>
        </w:rPr>
        <w:t xml:space="preserve"> </w:t>
      </w:r>
    </w:p>
    <w:p w14:paraId="010A1B00" w14:textId="16F06A60" w:rsidR="00143837" w:rsidRDefault="009C51DE" w:rsidP="00D1166C">
      <w:r>
        <w:t xml:space="preserve">The output from </w:t>
      </w:r>
      <w:proofErr w:type="spellStart"/>
      <w:r>
        <w:t>aneuvis</w:t>
      </w:r>
      <w:proofErr w:type="spellEnd"/>
      <w:r>
        <w:t xml:space="preserve"> is organized into 2 sections – table summary and visualization</w:t>
      </w:r>
      <w:r w:rsidR="008E263D">
        <w:t xml:space="preserve"> – that are generated automatically from the input data</w:t>
      </w:r>
      <w:r>
        <w:t xml:space="preserve">. </w:t>
      </w:r>
      <w:r w:rsidR="003A16FF">
        <w:t xml:space="preserve">The table summary includes statistics that summarize the degree of numerical chromosomal aneuploidy and heterogeneity in a population of single cells. </w:t>
      </w:r>
      <w:r w:rsidR="00B80090">
        <w:t xml:space="preserve">The visualization tab includes plots derived from the statistics available in table summary. These visualizations enable comparisons between groups and between platforms. </w:t>
      </w:r>
      <w:proofErr w:type="gramStart"/>
      <w:r w:rsidR="00CF3C1E">
        <w:t xml:space="preserve">In </w:t>
      </w:r>
      <w:r w:rsidR="00B80090">
        <w:t>order to</w:t>
      </w:r>
      <w:proofErr w:type="gramEnd"/>
      <w:r w:rsidR="00B80090">
        <w:t xml:space="preserve"> </w:t>
      </w:r>
      <w:r w:rsidR="00143837">
        <w:t>test</w:t>
      </w:r>
      <w:r w:rsidR="00B80090">
        <w:t xml:space="preserve"> statistical significance between groups</w:t>
      </w:r>
      <w:r w:rsidR="00CF3C1E">
        <w:t>, we also incorporate automatic permutation testing between groups along with a visualization of the output.</w:t>
      </w:r>
      <w:r w:rsidR="00143837">
        <w:t xml:space="preserve"> In sum, the output from </w:t>
      </w:r>
      <w:proofErr w:type="spellStart"/>
      <w:r w:rsidR="00143837">
        <w:t>aneuvis</w:t>
      </w:r>
      <w:proofErr w:type="spellEnd"/>
      <w:r w:rsidR="00143837">
        <w:t xml:space="preserve"> provides a numerical and visual summary of the ploidy state of populations of single cells across different treatments and experimental platforms. This output has the potential to uncover unexpected relationships in terms of the aneuploid state between different treatments, which might hint at a similar underlying mechanism. This platform will empower researchers with a new, automated approach to view aneuploidy between groups. </w:t>
      </w:r>
    </w:p>
    <w:p w14:paraId="216FD01A" w14:textId="77777777" w:rsidR="00B80090" w:rsidRDefault="00B80090" w:rsidP="00D1166C"/>
    <w:p w14:paraId="598F2CBE" w14:textId="60A9628D" w:rsidR="00B80090" w:rsidRPr="00B80090" w:rsidRDefault="00B80090" w:rsidP="00D1166C">
      <w:pPr>
        <w:rPr>
          <w:i/>
        </w:rPr>
      </w:pPr>
      <w:r w:rsidRPr="00B80090">
        <w:rPr>
          <w:i/>
        </w:rPr>
        <w:t>Table summary</w:t>
      </w:r>
    </w:p>
    <w:p w14:paraId="6390B20B" w14:textId="5B3A5B72" w:rsidR="005F519A" w:rsidRDefault="003A16FF" w:rsidP="00D1166C">
      <w:r>
        <w:t xml:space="preserve">From searching the literature, we identified several statistics that can be used to summarize the chromosomal state across entire populations of cells or across individual chromosomes. </w:t>
      </w:r>
      <w:r w:rsidR="008E263D">
        <w:t xml:space="preserve">Table summary </w:t>
      </w:r>
      <w:r w:rsidR="005F519A">
        <w:t xml:space="preserve">is divided into two parts – aggregate and chromosome-level summaries per group. The aggregate summary contains 5 distinct statistics that </w:t>
      </w:r>
      <w:r>
        <w:t>were defined in previous studies (</w:t>
      </w:r>
      <w:r w:rsidRPr="003A16FF">
        <w:rPr>
          <w:b/>
        </w:rPr>
        <w:fldChar w:fldCharType="begin"/>
      </w:r>
      <w:r w:rsidRPr="003A16FF">
        <w:rPr>
          <w:b/>
        </w:rPr>
        <w:instrText xml:space="preserve"> REF _Ref513639080 \h </w:instrText>
      </w:r>
      <w:r>
        <w:rPr>
          <w:b/>
        </w:rPr>
        <w:instrText xml:space="preserve"> \* MERGEFORMAT </w:instrText>
      </w:r>
      <w:r w:rsidRPr="003A16FF">
        <w:rPr>
          <w:b/>
        </w:rPr>
      </w:r>
      <w:r w:rsidRPr="003A16FF">
        <w:rPr>
          <w:b/>
        </w:rPr>
        <w:fldChar w:fldCharType="separate"/>
      </w:r>
      <w:r w:rsidRPr="003A16FF">
        <w:rPr>
          <w:b/>
        </w:rPr>
        <w:t xml:space="preserve">Table </w:t>
      </w:r>
      <w:r w:rsidRPr="003A16FF">
        <w:rPr>
          <w:b/>
          <w:noProof/>
        </w:rPr>
        <w:t>1</w:t>
      </w:r>
      <w:r w:rsidRPr="003A16FF">
        <w:rPr>
          <w:b/>
        </w:rPr>
        <w:fldChar w:fldCharType="end"/>
      </w:r>
      <w:r>
        <w:t xml:space="preserve">). </w:t>
      </w:r>
      <w:r w:rsidR="00143837">
        <w:t xml:space="preserve">The same statistical are calculated at the chromosomal level, </w:t>
      </w:r>
      <w:proofErr w:type="gramStart"/>
      <w:r w:rsidR="00143837">
        <w:t>in order to</w:t>
      </w:r>
      <w:proofErr w:type="gramEnd"/>
      <w:r w:rsidR="00143837">
        <w:t xml:space="preserve"> identify those chromosomes that are m</w:t>
      </w:r>
      <w:r w:rsidR="00C450D8">
        <w:t>ost perturbed within each group</w:t>
      </w:r>
      <w:r w:rsidR="00143837">
        <w:t xml:space="preserve">. </w:t>
      </w:r>
      <w:r w:rsidR="00017980">
        <w:t xml:space="preserve">The chromosome-level summaries are available </w:t>
      </w:r>
      <w:r w:rsidR="00B80090">
        <w:t>for the same statistics</w:t>
      </w:r>
      <w:r w:rsidR="00202A20">
        <w:t xml:space="preserve">, </w:t>
      </w:r>
      <w:proofErr w:type="gramStart"/>
      <w:r w:rsidR="00202A20">
        <w:t>with the exception of</w:t>
      </w:r>
      <w:proofErr w:type="gramEnd"/>
      <w:r w:rsidR="00202A20">
        <w:t xml:space="preserve"> the ploidy proportion, which is only calculated as the proportion of cells that are diploid</w:t>
      </w:r>
      <w:r w:rsidR="00B80090">
        <w:t>.</w:t>
      </w:r>
      <w:r w:rsidR="006A29BF">
        <w:t xml:space="preserve"> </w:t>
      </w:r>
      <w:r w:rsidR="00F01BCF">
        <w:t xml:space="preserve">The user interface to the summary table is dynamic and searchable, and the data is downloadable. </w:t>
      </w:r>
      <w:r w:rsidR="004D357E">
        <w:t>Below is a description of each of the scores</w:t>
      </w:r>
      <w:r w:rsidR="00F01BCF">
        <w:t>.</w:t>
      </w:r>
    </w:p>
    <w:p w14:paraId="6439C972" w14:textId="77777777" w:rsidR="005F519A" w:rsidRDefault="005F519A" w:rsidP="00D1166C"/>
    <w:p w14:paraId="5357B511" w14:textId="493F698C" w:rsidR="00E666CB" w:rsidRDefault="00E666CB" w:rsidP="00D1166C">
      <w:r>
        <w:t>The instability index</w:t>
      </w:r>
      <w:r w:rsidR="00CC368B">
        <w:t xml:space="preserve"> </w:t>
      </w:r>
      <w:r w:rsidR="000F330F">
        <w:t xml:space="preserve">(I) </w:t>
      </w:r>
      <w:r w:rsidR="00CC368B">
        <w:t xml:space="preserve">is a metric that calculates the </w:t>
      </w:r>
      <w:r w:rsidR="00D511AC">
        <w:t>percentage of cells that contain a chromosomal aberration.</w:t>
      </w:r>
      <w:r w:rsidR="009C39C4">
        <w:t xml:space="preserve"> </w:t>
      </w:r>
      <w:r w:rsidR="000F330F">
        <w:t>This metric does not directly depend on the number of chromosomes; however, measuring more chromosomes may make it more likely to detect at least one chromosome that contains an abnormal number of copies.</w:t>
      </w:r>
    </w:p>
    <w:p w14:paraId="66CA3B2B" w14:textId="77777777" w:rsidR="00E666CB" w:rsidRDefault="00E666CB" w:rsidP="00D1166C"/>
    <w:p w14:paraId="41A4C585" w14:textId="62EF4A3D" w:rsidR="00EC4AB8" w:rsidRDefault="004D357E" w:rsidP="00D1166C">
      <w:r>
        <w:t xml:space="preserve">The </w:t>
      </w:r>
      <w:r w:rsidR="005060B9">
        <w:t>Average Number of Copy Number Alterations (</w:t>
      </w:r>
      <w:r>
        <w:t>ANCA</w:t>
      </w:r>
      <w:r w:rsidR="005060B9">
        <w:t>)</w:t>
      </w:r>
      <w:r>
        <w:t xml:space="preserve"> score </w:t>
      </w:r>
      <w:r w:rsidR="00200C83">
        <w:t xml:space="preserve">has been applied in the </w:t>
      </w:r>
      <w:r>
        <w:t xml:space="preserve">context of colorectal </w:t>
      </w:r>
      <w:r w:rsidR="005060B9">
        <w:t xml:space="preserve">and cervical </w:t>
      </w:r>
      <w:r>
        <w:t>cancer</w:t>
      </w:r>
      <w:r w:rsidR="005060B9">
        <w:t xml:space="preserve"> </w:t>
      </w:r>
      <w:r w:rsidR="00A56ECF">
        <w:t>in an</w:t>
      </w:r>
      <w:r w:rsidR="005060B9">
        <w:t xml:space="preserve"> attempt to quantify the </w:t>
      </w:r>
      <w:r w:rsidR="00200C83">
        <w:t xml:space="preserve">relationship between tumor aggressiveness and </w:t>
      </w:r>
      <w:r w:rsidR="005060B9">
        <w:t>genomic instability</w:t>
      </w:r>
      <w:r>
        <w:fldChar w:fldCharType="begin" w:fldLock="1"/>
      </w:r>
      <w:r w:rsidR="00AA6196">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"&lt;sup&gt;3,4&lt;/sup&gt;", "plainTextFormattedCitation" : "3,4", "previouslyFormattedCitation" : "&lt;sup&gt;3,4&lt;/sup&gt;" }, "properties" : {  }, "schema" : "https://github.com/citation-style-language/schema/raw/master/csl-citation.json" }</w:instrText>
      </w:r>
      <w:r>
        <w:fldChar w:fldCharType="separate"/>
      </w:r>
      <w:r w:rsidR="00AA6196" w:rsidRPr="00AA6196">
        <w:rPr>
          <w:noProof/>
          <w:vertAlign w:val="superscript"/>
        </w:rPr>
        <w:t>3,4</w:t>
      </w:r>
      <w:r>
        <w:fldChar w:fldCharType="end"/>
      </w:r>
      <w:r>
        <w:t xml:space="preserve">. </w:t>
      </w:r>
      <w:r w:rsidR="00200C83">
        <w:t>Previous studies have</w:t>
      </w:r>
      <w:r w:rsidR="005060B9">
        <w:t xml:space="preserve"> uncovered that more aggressive tumors had a higher ANCA score. However, one limitation of the ANCA score is that it does not </w:t>
      </w:r>
      <w:r w:rsidR="00200C83">
        <w:t>account</w:t>
      </w:r>
      <w:r w:rsidR="005060B9">
        <w:t xml:space="preserve"> for the number of chromosomes examined. W</w:t>
      </w:r>
      <w:r w:rsidR="00200C83">
        <w:t xml:space="preserve">ithin </w:t>
      </w:r>
      <w:proofErr w:type="spellStart"/>
      <w:r w:rsidR="00200C83">
        <w:t>aneuvis</w:t>
      </w:r>
      <w:proofErr w:type="spellEnd"/>
      <w:r w:rsidR="00200C83">
        <w:t>, w</w:t>
      </w:r>
      <w:r w:rsidR="005060B9">
        <w:t>e introduce a derivative</w:t>
      </w:r>
      <w:r w:rsidR="00200C83">
        <w:t xml:space="preserve"> of the ANCA score, called the Normalized ANCA score, which accounts for the number of chromosomes measured and enables comparisons of this metric between experiments that utilize different numbers of probes. </w:t>
      </w:r>
    </w:p>
    <w:p w14:paraId="7F6F7A35" w14:textId="77777777" w:rsidR="00EC4AB8" w:rsidRDefault="00EC4AB8" w:rsidP="00D1166C"/>
    <w:p w14:paraId="72B03DFC" w14:textId="196D0709" w:rsidR="00EC4AB8" w:rsidRDefault="00EC4AB8" w:rsidP="00D1166C">
      <w:r>
        <w:t xml:space="preserve">The aneuploidy </w:t>
      </w:r>
      <w:r w:rsidR="000F330F">
        <w:t xml:space="preserve">(D) </w:t>
      </w:r>
      <w:r>
        <w:t>and heterogeneity</w:t>
      </w:r>
      <w:r w:rsidR="000F330F">
        <w:t xml:space="preserve"> (H)</w:t>
      </w:r>
      <w:r>
        <w:t xml:space="preserve"> scores were derived from Bakker et al and represent a pair of statistics that </w:t>
      </w:r>
      <w:r w:rsidR="00927C3E">
        <w:t xml:space="preserve">account for the number of </w:t>
      </w:r>
      <w:r w:rsidR="00934717">
        <w:t xml:space="preserve">cells and chromosomes tested for. The </w:t>
      </w:r>
      <w:r w:rsidR="00934717">
        <w:lastRenderedPageBreak/>
        <w:t xml:space="preserve">aneuploidy score increases with an increased chromosome copy number – the only score to take the number of chromosomes into account. </w:t>
      </w:r>
      <w:r w:rsidR="00E05321">
        <w:t xml:space="preserve">The heterogeneity score </w:t>
      </w:r>
      <w:r w:rsidR="00CB4B49">
        <w:t>increases</w:t>
      </w:r>
      <w:r w:rsidR="00E05321">
        <w:t xml:space="preserve"> with the number of distinct chromosomal states observed, and is maximized when each cell has a distinct state.</w:t>
      </w:r>
      <w:r w:rsidR="00E8120B">
        <w:t xml:space="preserve"> In contrast to the aneuploidy score, the heterogeneity score does not </w:t>
      </w:r>
      <w:r w:rsidR="000F330F">
        <w:t>incorporate</w:t>
      </w:r>
      <w:r w:rsidR="00E8120B">
        <w:t xml:space="preserve"> the chromosomal copy number.</w:t>
      </w:r>
      <w:r w:rsidR="000F330F">
        <w:t xml:space="preserve"> These statistics were derived for looking at copy number data from whole genome single cell sequencing data, though their formulation enables them to be applied to other copy number datasets. </w:t>
      </w:r>
    </w:p>
    <w:p w14:paraId="6E46DAC4" w14:textId="77777777" w:rsidR="00EC4AB8" w:rsidRDefault="00EC4AB8" w:rsidP="00D1166C"/>
    <w:p w14:paraId="4E2D6174" w14:textId="77777777" w:rsidR="00237C36" w:rsidRDefault="00237C36" w:rsidP="00D1166C"/>
    <w:p w14:paraId="0F4E1155" w14:textId="77777777" w:rsidR="00F417E4" w:rsidRDefault="00F417E4" w:rsidP="00F417E4">
      <w:pPr>
        <w:rPr>
          <w:rFonts w:eastAsiaTheme="minorEastAsia"/>
        </w:rPr>
      </w:pPr>
    </w:p>
    <w:p w14:paraId="066A3AE5" w14:textId="77777777" w:rsidR="00D97B54" w:rsidRDefault="00D97B54" w:rsidP="00D1166C"/>
    <w:p w14:paraId="5A81C36F" w14:textId="31A805CC" w:rsidR="00A72C13" w:rsidRPr="00953185" w:rsidRDefault="00A72C13" w:rsidP="00D1166C">
      <w:pPr>
        <w:rPr>
          <w:i/>
        </w:rPr>
      </w:pPr>
      <w:r w:rsidRPr="00953185">
        <w:rPr>
          <w:i/>
        </w:rPr>
        <w:t>Visualization</w:t>
      </w:r>
    </w:p>
    <w:p w14:paraId="3F33649F" w14:textId="77777777" w:rsidR="00A72C13" w:rsidRDefault="00A72C13" w:rsidP="00D1166C"/>
    <w:p w14:paraId="034DFC4F" w14:textId="77777777" w:rsidR="004C50E6" w:rsidRDefault="00B82A2A" w:rsidP="00D1166C">
      <w:r>
        <w:t xml:space="preserve">Graphical outputs are automatically generated and are divided into visualizations that are data-type specific, and those that are integrated between different datatypes. For example, we introduce a bivariate percentage plot for FISH data, which is often performed with probes that can quantify the ploidy of between 2 and 4 chromosomes. </w:t>
      </w:r>
    </w:p>
    <w:p w14:paraId="459B5B37" w14:textId="77777777" w:rsidR="004C50E6" w:rsidRDefault="004C50E6" w:rsidP="00D1166C"/>
    <w:p w14:paraId="7407155C" w14:textId="4ECB5618" w:rsidR="004C50E6" w:rsidRPr="004C50E6" w:rsidRDefault="004C50E6" w:rsidP="00D1166C">
      <w:pPr>
        <w:rPr>
          <w:i/>
        </w:rPr>
      </w:pPr>
      <w:r w:rsidRPr="004C50E6">
        <w:rPr>
          <w:i/>
        </w:rPr>
        <w:t>Integrated analyses</w:t>
      </w:r>
    </w:p>
    <w:p w14:paraId="40CF4F39" w14:textId="1F24F8DA" w:rsidR="00B82A2A" w:rsidRDefault="004C50E6" w:rsidP="00D1166C">
      <w:r>
        <w:t xml:space="preserve">The aneuploidy and heterogeneity scores are generated for each group </w:t>
      </w:r>
      <w:proofErr w:type="gramStart"/>
      <w:r>
        <w:t>as a whole, as well as</w:t>
      </w:r>
      <w:proofErr w:type="gramEnd"/>
      <w:r>
        <w:t xml:space="preserve"> for each individual chromosome, as a scatterplot. In addition, we </w:t>
      </w:r>
      <w:r w:rsidR="0081372A">
        <w:t xml:space="preserve">display the ploidy proportion data across all samples using </w:t>
      </w:r>
      <w:r>
        <w:t xml:space="preserve">a ternary plot, which is useful for representing 3 variables </w:t>
      </w:r>
      <w:r w:rsidR="0081372A">
        <w:t xml:space="preserve">constrained to sum to 1. The </w:t>
      </w:r>
      <w:r w:rsidR="00DF6418">
        <w:t xml:space="preserve">ternary plot includes groups from all platforms, and enables comparisons between these groups. The </w:t>
      </w:r>
    </w:p>
    <w:p w14:paraId="6C1F22DC" w14:textId="77777777" w:rsidR="00B82A2A" w:rsidRDefault="00B82A2A" w:rsidP="00D1166C"/>
    <w:p w14:paraId="52551EF6" w14:textId="3E1D2B56" w:rsidR="00A72C13" w:rsidRPr="00953185" w:rsidRDefault="00A72C13" w:rsidP="00D1166C">
      <w:pPr>
        <w:rPr>
          <w:i/>
        </w:rPr>
      </w:pPr>
      <w:r w:rsidRPr="00953185">
        <w:rPr>
          <w:i/>
        </w:rPr>
        <w:t>Permutation</w:t>
      </w:r>
    </w:p>
    <w:p w14:paraId="270F7462" w14:textId="77777777" w:rsidR="00586C3D" w:rsidRDefault="00586C3D" w:rsidP="00D1166C"/>
    <w:p w14:paraId="6870F388" w14:textId="72117227" w:rsidR="00DA525B" w:rsidRDefault="00586C3D" w:rsidP="00D1166C">
      <w:r>
        <w:t>Oftentimes, a research question may involve asking whether two treatment groups are different from each other</w:t>
      </w:r>
      <w:r w:rsidR="00810D0E">
        <w:t xml:space="preserve"> in terms of their degree of chromosomal instability</w:t>
      </w:r>
      <w:r>
        <w:t>. Permutation testing is</w:t>
      </w:r>
      <w:r w:rsidR="00810D0E">
        <w:t xml:space="preserve"> a robust approach that harnesses computational resources to generate statistical conclusions using an intuitive, assumption-free approach.</w:t>
      </w:r>
      <w:r w:rsidR="007B268F">
        <w:t xml:space="preserve"> Here, we implement permutation testing between all pairwise comparisons by shuffling the labels </w:t>
      </w:r>
      <w:r w:rsidR="00DA525B">
        <w:t>associated with each</w:t>
      </w:r>
      <w:r w:rsidR="007B268F">
        <w:t xml:space="preserve"> </w:t>
      </w:r>
      <w:r w:rsidR="00DA525B">
        <w:t>observed cell.</w:t>
      </w:r>
      <w:r w:rsidR="007B268F">
        <w:t xml:space="preserve"> </w:t>
      </w:r>
      <w:r w:rsidR="00DA525B">
        <w:t xml:space="preserve">We test the null hypothesis that </w:t>
      </w:r>
      <w:r w:rsidR="00CA4F6E">
        <w:t xml:space="preserve">each </w:t>
      </w:r>
      <w:r w:rsidR="00DA525B">
        <w:t>group has an equal degree of chromosomal instability relative to all other groups</w:t>
      </w:r>
      <w:r w:rsidR="00BC36AE">
        <w:t>, and reject the null at a p value of 0.05</w:t>
      </w:r>
      <w:r w:rsidR="00DA525B">
        <w:t xml:space="preserve">. </w:t>
      </w:r>
    </w:p>
    <w:p w14:paraId="00A2F7BC" w14:textId="77777777" w:rsidR="007B268F" w:rsidRDefault="007B268F" w:rsidP="00D1166C"/>
    <w:p w14:paraId="1FE6C660" w14:textId="77777777" w:rsidR="00586C3D" w:rsidRDefault="00586C3D" w:rsidP="00D1166C"/>
    <w:p w14:paraId="788E1859" w14:textId="77777777" w:rsidR="00E41002" w:rsidRDefault="00E41002" w:rsidP="00D1166C"/>
    <w:p w14:paraId="5B4DFF94" w14:textId="77777777" w:rsidR="002B577C" w:rsidRDefault="002B577C" w:rsidP="00D1166C"/>
    <w:p w14:paraId="3163B377" w14:textId="77777777" w:rsidR="00F51B5F" w:rsidRDefault="00FD7225" w:rsidP="00F51B5F">
      <w:pPr>
        <w:keepNext/>
      </w:pPr>
      <w:r w:rsidRPr="00FD7225">
        <w:rPr>
          <w:noProof/>
        </w:rPr>
        <w:lastRenderedPageBreak/>
        <w:drawing>
          <wp:inline distT="0" distB="0" distL="0" distR="0" wp14:anchorId="1AC53BF6" wp14:editId="44F610DF">
            <wp:extent cx="5842635" cy="414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9" t="2875"/>
                    <a:stretch/>
                  </pic:blipFill>
                  <pic:spPr bwMode="auto">
                    <a:xfrm>
                      <a:off x="0" y="0"/>
                      <a:ext cx="5843239" cy="4143254"/>
                    </a:xfrm>
                    <a:prstGeom prst="rect">
                      <a:avLst/>
                    </a:prstGeom>
                    <a:ln>
                      <a:noFill/>
                    </a:ln>
                    <a:extLst>
                      <a:ext uri="{53640926-AAD7-44D8-BBD7-CCE9431645EC}">
                        <a14:shadowObscured xmlns:a14="http://schemas.microsoft.com/office/drawing/2010/main"/>
                      </a:ext>
                    </a:extLst>
                  </pic:spPr>
                </pic:pic>
              </a:graphicData>
            </a:graphic>
          </wp:inline>
        </w:drawing>
      </w:r>
    </w:p>
    <w:p w14:paraId="7646ABF5" w14:textId="12943B25" w:rsidR="00FD7225" w:rsidRPr="0084267F" w:rsidRDefault="00F51B5F" w:rsidP="00F51B5F">
      <w:pPr>
        <w:pStyle w:val="Caption"/>
        <w:rPr>
          <w:i w:val="0"/>
          <w:color w:val="000000" w:themeColor="text1"/>
          <w:sz w:val="24"/>
          <w:szCs w:val="24"/>
        </w:rPr>
      </w:pPr>
      <w:r w:rsidRPr="00E26202">
        <w:rPr>
          <w:b/>
          <w:i w:val="0"/>
          <w:color w:val="000000" w:themeColor="text1"/>
          <w:sz w:val="24"/>
          <w:szCs w:val="24"/>
        </w:rPr>
        <w:t xml:space="preserve">Figure </w:t>
      </w:r>
      <w:r w:rsidRPr="00E26202">
        <w:rPr>
          <w:b/>
          <w:i w:val="0"/>
          <w:color w:val="000000" w:themeColor="text1"/>
          <w:sz w:val="24"/>
          <w:szCs w:val="24"/>
        </w:rPr>
        <w:fldChar w:fldCharType="begin"/>
      </w:r>
      <w:r w:rsidRPr="00E26202">
        <w:rPr>
          <w:b/>
          <w:i w:val="0"/>
          <w:color w:val="000000" w:themeColor="text1"/>
          <w:sz w:val="24"/>
          <w:szCs w:val="24"/>
        </w:rPr>
        <w:instrText xml:space="preserve"> SEQ Figure \* ARABIC </w:instrText>
      </w:r>
      <w:r w:rsidRPr="00E26202">
        <w:rPr>
          <w:b/>
          <w:i w:val="0"/>
          <w:color w:val="000000" w:themeColor="text1"/>
          <w:sz w:val="24"/>
          <w:szCs w:val="24"/>
        </w:rPr>
        <w:fldChar w:fldCharType="separate"/>
      </w:r>
      <w:r w:rsidRPr="00E26202">
        <w:rPr>
          <w:b/>
          <w:i w:val="0"/>
          <w:noProof/>
          <w:color w:val="000000" w:themeColor="text1"/>
          <w:sz w:val="24"/>
          <w:szCs w:val="24"/>
        </w:rPr>
        <w:t>1</w:t>
      </w:r>
      <w:r w:rsidRPr="00E26202">
        <w:rPr>
          <w:b/>
          <w:i w:val="0"/>
          <w:color w:val="000000" w:themeColor="text1"/>
          <w:sz w:val="24"/>
          <w:szCs w:val="24"/>
        </w:rPr>
        <w:fldChar w:fldCharType="end"/>
      </w:r>
      <w:r w:rsidRPr="00E26202">
        <w:rPr>
          <w:b/>
          <w:i w:val="0"/>
          <w:color w:val="000000" w:themeColor="text1"/>
          <w:sz w:val="24"/>
          <w:szCs w:val="24"/>
        </w:rPr>
        <w:t xml:space="preserve">. Overview of </w:t>
      </w:r>
      <w:proofErr w:type="spellStart"/>
      <w:r w:rsidRPr="00E26202">
        <w:rPr>
          <w:b/>
          <w:i w:val="0"/>
          <w:color w:val="000000" w:themeColor="text1"/>
          <w:sz w:val="24"/>
          <w:szCs w:val="24"/>
        </w:rPr>
        <w:t>aneuvis</w:t>
      </w:r>
      <w:proofErr w:type="spellEnd"/>
      <w:r w:rsidRPr="00E26202">
        <w:rPr>
          <w:b/>
          <w:i w:val="0"/>
          <w:color w:val="000000" w:themeColor="text1"/>
          <w:sz w:val="24"/>
          <w:szCs w:val="24"/>
        </w:rPr>
        <w:t xml:space="preserve"> workflow for analyzing </w:t>
      </w:r>
      <w:r w:rsidR="00E26202">
        <w:rPr>
          <w:b/>
          <w:i w:val="0"/>
          <w:color w:val="000000" w:themeColor="text1"/>
          <w:sz w:val="24"/>
          <w:szCs w:val="24"/>
        </w:rPr>
        <w:t>variation in chromosome number</w:t>
      </w:r>
      <w:r w:rsidRPr="00E26202">
        <w:rPr>
          <w:b/>
          <w:i w:val="0"/>
          <w:color w:val="000000" w:themeColor="text1"/>
          <w:sz w:val="24"/>
          <w:szCs w:val="24"/>
        </w:rPr>
        <w:t>.</w:t>
      </w:r>
      <w:r w:rsidR="009A69C4" w:rsidRPr="0084267F">
        <w:rPr>
          <w:i w:val="0"/>
          <w:color w:val="000000" w:themeColor="text1"/>
          <w:sz w:val="24"/>
          <w:szCs w:val="24"/>
        </w:rPr>
        <w:t xml:space="preserve"> A) </w:t>
      </w:r>
      <w:r w:rsidR="00A039A5">
        <w:rPr>
          <w:i w:val="0"/>
          <w:color w:val="000000" w:themeColor="text1"/>
          <w:sz w:val="24"/>
          <w:szCs w:val="24"/>
        </w:rPr>
        <w:t xml:space="preserve">The analysis of multiple cells per treatment group helps determine whether </w:t>
      </w:r>
      <w:r w:rsidR="0084267F" w:rsidRPr="0084267F">
        <w:rPr>
          <w:i w:val="0"/>
          <w:color w:val="000000" w:themeColor="text1"/>
          <w:sz w:val="24"/>
          <w:szCs w:val="24"/>
        </w:rPr>
        <w:t xml:space="preserve">a treatment </w:t>
      </w:r>
      <w:r w:rsidR="00A039A5">
        <w:rPr>
          <w:i w:val="0"/>
          <w:color w:val="000000" w:themeColor="text1"/>
          <w:sz w:val="24"/>
          <w:szCs w:val="24"/>
        </w:rPr>
        <w:t>can induce</w:t>
      </w:r>
      <w:r w:rsidR="0084267F" w:rsidRPr="0084267F">
        <w:rPr>
          <w:i w:val="0"/>
          <w:color w:val="000000" w:themeColor="text1"/>
          <w:sz w:val="24"/>
          <w:szCs w:val="24"/>
        </w:rPr>
        <w:t xml:space="preserve"> changes in the number of chromosomes. B) </w:t>
      </w:r>
      <w:r w:rsidR="006814B7">
        <w:rPr>
          <w:i w:val="0"/>
          <w:color w:val="000000" w:themeColor="text1"/>
          <w:sz w:val="24"/>
          <w:szCs w:val="24"/>
        </w:rPr>
        <w:t>Next, v</w:t>
      </w:r>
      <w:r w:rsidR="0084267F" w:rsidRPr="0084267F">
        <w:rPr>
          <w:i w:val="0"/>
          <w:color w:val="000000" w:themeColor="text1"/>
          <w:sz w:val="24"/>
          <w:szCs w:val="24"/>
        </w:rPr>
        <w:t xml:space="preserve">arious </w:t>
      </w:r>
      <w:r w:rsidR="006814B7">
        <w:rPr>
          <w:i w:val="0"/>
          <w:color w:val="000000" w:themeColor="text1"/>
          <w:sz w:val="24"/>
          <w:szCs w:val="24"/>
        </w:rPr>
        <w:t xml:space="preserve">methodologies </w:t>
      </w:r>
      <w:r w:rsidR="0084267F" w:rsidRPr="0084267F">
        <w:rPr>
          <w:i w:val="0"/>
          <w:color w:val="000000" w:themeColor="text1"/>
          <w:sz w:val="24"/>
          <w:szCs w:val="24"/>
        </w:rPr>
        <w:t>can be used to determine the copy number state of each cell within each treatment group</w:t>
      </w:r>
      <w:r w:rsidR="009A69C4" w:rsidRPr="0084267F">
        <w:rPr>
          <w:i w:val="0"/>
          <w:color w:val="000000" w:themeColor="text1"/>
          <w:sz w:val="24"/>
          <w:szCs w:val="24"/>
        </w:rPr>
        <w:t>.</w:t>
      </w:r>
      <w:r w:rsidR="0084267F" w:rsidRPr="0084267F">
        <w:rPr>
          <w:i w:val="0"/>
          <w:color w:val="000000" w:themeColor="text1"/>
          <w:sz w:val="24"/>
          <w:szCs w:val="24"/>
        </w:rPr>
        <w:t xml:space="preserve"> </w:t>
      </w:r>
      <w:r w:rsidR="006814B7">
        <w:rPr>
          <w:i w:val="0"/>
          <w:color w:val="000000" w:themeColor="text1"/>
          <w:sz w:val="24"/>
          <w:szCs w:val="24"/>
        </w:rPr>
        <w:t xml:space="preserve">This information is often stored as a cell x chromosome matrix, where the entries indicate the number of inferred copies of a chromosome in a cell. </w:t>
      </w:r>
      <w:r w:rsidR="0084267F" w:rsidRPr="0084267F">
        <w:rPr>
          <w:i w:val="0"/>
          <w:color w:val="000000" w:themeColor="text1"/>
          <w:sz w:val="24"/>
          <w:szCs w:val="24"/>
        </w:rPr>
        <w:t xml:space="preserve">C) </w:t>
      </w:r>
      <w:proofErr w:type="spellStart"/>
      <w:r w:rsidR="0084267F" w:rsidRPr="0084267F">
        <w:rPr>
          <w:i w:val="0"/>
          <w:color w:val="000000" w:themeColor="text1"/>
          <w:sz w:val="24"/>
          <w:szCs w:val="24"/>
        </w:rPr>
        <w:t>Aneuvis</w:t>
      </w:r>
      <w:proofErr w:type="spellEnd"/>
      <w:r w:rsidR="0084267F" w:rsidRPr="0084267F">
        <w:rPr>
          <w:i w:val="0"/>
          <w:color w:val="000000" w:themeColor="text1"/>
          <w:sz w:val="24"/>
          <w:szCs w:val="24"/>
        </w:rPr>
        <w:t xml:space="preserve"> incorporates information from the experimental design as well as from </w:t>
      </w:r>
      <w:r w:rsidR="006814B7">
        <w:rPr>
          <w:i w:val="0"/>
          <w:color w:val="000000" w:themeColor="text1"/>
          <w:sz w:val="24"/>
          <w:szCs w:val="24"/>
        </w:rPr>
        <w:t>chromosomal</w:t>
      </w:r>
      <w:r w:rsidR="0084267F" w:rsidRPr="0084267F">
        <w:rPr>
          <w:i w:val="0"/>
          <w:color w:val="000000" w:themeColor="text1"/>
          <w:sz w:val="24"/>
          <w:szCs w:val="24"/>
        </w:rPr>
        <w:t xml:space="preserve"> copy number matrices</w:t>
      </w:r>
      <w:r w:rsidR="006814B7">
        <w:rPr>
          <w:i w:val="0"/>
          <w:color w:val="000000" w:themeColor="text1"/>
          <w:sz w:val="24"/>
          <w:szCs w:val="24"/>
        </w:rPr>
        <w:t xml:space="preserve"> to determine whether differences exist between treatment groups</w:t>
      </w:r>
      <w:r w:rsidR="0084267F" w:rsidRPr="0084267F">
        <w:rPr>
          <w:i w:val="0"/>
          <w:color w:val="000000" w:themeColor="text1"/>
          <w:sz w:val="24"/>
          <w:szCs w:val="24"/>
        </w:rPr>
        <w:t>.</w:t>
      </w:r>
      <w:r w:rsidR="00EC001B">
        <w:rPr>
          <w:i w:val="0"/>
          <w:color w:val="000000" w:themeColor="text1"/>
          <w:sz w:val="24"/>
          <w:szCs w:val="24"/>
        </w:rPr>
        <w:t xml:space="preserve"> A table of descriptive statistics summarized by group and by chromosome is automatically generated and available for download. Visual representations of the relationship in aneuploidy between different groups is also automatically generated. A permutation-based approach enables the user to conclude whether there is a statistically significant difference in the ploidy characteristics between treatment groups. </w:t>
      </w:r>
    </w:p>
    <w:p w14:paraId="61706016" w14:textId="77777777" w:rsidR="00642126" w:rsidRDefault="00642126" w:rsidP="00D1166C"/>
    <w:p w14:paraId="2F2321A2" w14:textId="71CDFE11" w:rsidR="00642126" w:rsidRPr="00642126" w:rsidRDefault="00642126" w:rsidP="00D1166C">
      <w:pPr>
        <w:rPr>
          <w:b/>
        </w:rPr>
      </w:pPr>
      <w:r w:rsidRPr="00642126">
        <w:rPr>
          <w:b/>
        </w:rPr>
        <w:t>Discussion</w:t>
      </w:r>
    </w:p>
    <w:p w14:paraId="0228C150" w14:textId="77777777" w:rsidR="007E7F7C" w:rsidRDefault="007E7F7C" w:rsidP="007E7F7C"/>
    <w:p w14:paraId="69D528A7" w14:textId="77777777" w:rsidR="0061416E" w:rsidRDefault="0061416E" w:rsidP="0061416E">
      <w:r>
        <w:t>Chromosomal instability refers to a biological phenomenon whereby an actively dividing population of cells fails to maintain a consistent number of chromosomes after cell division.</w:t>
      </w:r>
    </w:p>
    <w:p w14:paraId="31857DB7" w14:textId="77777777" w:rsidR="0061416E" w:rsidRDefault="0061416E" w:rsidP="007E7F7C"/>
    <w:p w14:paraId="708CD853" w14:textId="143ED0DF" w:rsidR="007E7F7C" w:rsidRDefault="007E7F7C" w:rsidP="007E7F7C">
      <w:r>
        <w:t>The presence of WGD alters sensitivity of cells to potential cancer therapeutics and is thus important to detect</w:t>
      </w:r>
      <w:r>
        <w:fldChar w:fldCharType="begin" w:fldLock="1"/>
      </w:r>
      <w:r w:rsidR="00AA6196">
        <w:instrText>ADDIN CSL_CITATION { "citationItems" : [ { "id" : "ITEM-1", "itemData" : { "DOI" : "10.1073/pnas.1700234114", "ISSN" : "1091-6490", "PMID" : "28270606", "abstract" : "Loss of cell-cycle control is a hallmark of human cancer. Cell-cycle checkpoints are essential for maintaining genome integrity and balanced growth and division. They are specifically deregulated in cancer cells and contain regulators that represent potential therapeutic targets. Monopolar spindle 1 (Mps1; also known as TTK protein kinase) is a core component of the spindle assembly checkpoint (SAC), a genome-surveillance mechanism that is important for cell survival, and has emerged as a candidate target for anticancer therapy. Here, we report the cellular and antitumor effects of CFI-402257, a potent (Mps1 Ki = 0.09 \u00b1 0.02 nM; cellular Mps1 EC50 = 6.5 \u00b1 0.5 nM), highly selective, and orally active small-molecule inhibitor of Mps1 that was identified through a drug-discovery program. Human cancer cells treated with CFI-402257 exhibit effects consistent with Mps1 kinase inhibition, specifically SAC inactivation, leading to chromosome missegregation, aneuploidy, and ultimately cell death. Oral administration of CFI-402257 in monotherapy or in combination with an anti-programmed cell death 1 (PD-1) antibody in mouse models of human cancer results in inhibition of tumor growth at doses that are well-tolerated. Our findings provide a rationale for the clinical evaluation of CFI-402257 in patients with solid tumors.", "author" : [ { "dropping-particle" : "", "family" : "Mason", "given" : "Jacqueline M", "non-dropping-particle" : "", "parse-names" : false, "suffix" : "" }, { "dropping-particle" : "", "family" : "Wei", "given" : "Xin", "non-dropping-particle" : "", "parse-names" : false, "suffix" : "" }, { "dropping-particle" : "", "family" : "Fletcher", "given" : "Graham C", "non-dropping-particle" : "", "parse-names" : false, "suffix" : "" }, { "dropping-particle" : "", "family" : "Kiarash", "given" : "Reza", "non-dropping-particle" : "", "parse-names" : false, "suffix" : "" }, { "dropping-particle" : "", "family" : "Brokx", "given" : "Richard", "non-dropping-particle" : "", "parse-names" : false, "suffix" : "" }, { "dropping-particle" : "", "family" : "Hodgson", "given" : "Richard", "non-dropping-particle" : "", "parse-names" : false, "suffix" : "" }, { "dropping-particle" : "", "family" : "Beletskaya", "given" : "Irina", "non-dropping-particle" : "", "parse-names" : false, "suffix" : "" }, { "dropping-particle" : "", "family" : "Bray", "given" : "Mark R", "non-dropping-particle" : "", "parse-names" : false, "suffix" : "" }, { "dropping-particle" : "", "family" : "Mak", "given" : "Tak W", "non-dropping-particle" : "", "parse-names" : false, "suffix" : "" } ], "container-title" : "Proceedings of the National Academy of Sciences of the United States of America", "id" : "ITEM-1", "issue" : "12", "issued" : { "date-parts" : [ [ "2017" ] ] }, "page" : "3127-3132", "publisher" : "National Academy of Sciences", "title" : "Functional characterization of CFI-402257, a potent and selective Mps1/TTK kinase inhibitor, for the treatment of cancer.", "type" : "article-journal", "volume" : "114" }, "uris" : [ "http://www.mendeley.com/documents/?uuid=7315bed5-9a3f-3415-860e-48718a27bae3" ] }, { "id" : "ITEM-2", "itemData" : { "DOI" : "10.18632/oncotarget.6432", "ISSN" : "1949-2553", "PMID" : "26637805", "abstract" : "Several lines of evidence indicate that whole-genome duplication resulting in tetraploidy facilitates carcinogenesis by providing an intermediate and metastable state more prone to generate oncogenic aneuploidy. Here, we report a novel strategy to preferentially kill tetraploid cells based on the abrogation of the spindle assembly checkpoint (SAC) via the targeting of TTK protein kinase (better known as monopolar spindle 1, MPS1). The pharmacological inhibition as well as the knockdown of MPS1 kills more efficiently tetraploid cells than their diploid counterparts. By using time-lapse videomicroscopy, we show that tetraploid cells do not survive the aborted mitosis due to SAC abrogation upon MPS1 depletion. On the contrary diploid cells are able to survive up to at least two more cell cycles upon the same treatment. This effect might reflect the enhanced difficulty of cells with whole-genome doubling to tolerate a further increase in ploidy and/or an elevated level of chromosome instability in the absence of SAC functions. We further show that MPS1-inhibited tetraploid cells promote mitotic catastrophe executed by the intrinsic pathway of apoptosis, as indicated by the loss of mitochondrial potential, the release of the pro-apoptotic cytochrome c from mitochondria, and the activation of caspases. Altogether, our results suggest that MPS1 inhibition could be used as a therapeutic strategy for targeting tetraploid cancer cells.", "author" : [ { "dropping-particle" : "", "family" : "Jema\u00e0", "given" : "Mohamed", "non-dropping-particle" : "", "parse-names" : false, "suffix" : "" }, { "dropping-particle" : "", "family" : "Manic", "given" : "Gwenola", "non-dropping-particle" : "", "parse-names" : false, "suffix" : "" }, { "dropping-particle" : "", "family" : "Lledo", "given" : "Gwendaline", "non-dropping-particle" : "", "parse-names" : false, "suffix" : "" }, { "dropping-particle" : "", "family" : "Lissa", "given" : "Delphine", "non-dropping-particle" : "", "parse-names" : false, "suffix" : "" }, { "dropping-particle" : "", "family" : "Reynes", "given" : "Christelle", "non-dropping-particle" : "", "parse-names" : false, "suffix" : "" }, { "dropping-particle" : "", "family" : "Morin", "given" : "Nathalie", "non-dropping-particle" : "", "parse-names" : false, "suffix" : "" }, { "dropping-particle" : "", "family" : "Chibon", "given" : "Fr\u00e9d\u00e9ric", "non-dropping-particle" : "", "parse-names" : false, "suffix" : "" }, { "dropping-particle" : "", "family" : "Sistigu", "given" : "Antonella", "non-dropping-particle" : "", "parse-names" : false, "suffix" : "" }, { "dropping-particle" : "", "family" : "Castedo", "given" : "Maria", "non-dropping-particle" : "", "parse-names" : false, "suffix" : "" }, { "dropping-particle" : "", "family" : "Vitale", "given" : "Ilio", "non-dropping-particle" : "", "parse-names" : false, "suffix" : "" }, { "dropping-particle" : "", "family" : "Kroemer", "given" : "Guido", "non-dropping-particle" : "", "parse-names" : false, "suffix" : "" }, { "dropping-particle" : "", "family" : "Abrieu", "given" : "Ariane", "non-dropping-particle" : "", "parse-names" : false, "suffix" : "" } ], "container-title" : "Oncotarget", "id" : "ITEM-2", "issue" : "1", "issued" : { "date-parts" : [ [ "2016", "1", "5" ] ] }, "page" : "885-901", "title" : "Whole-genome duplication increases tumor cell sensitivity to MPS1 inhibition", "type" : "article-journal", "volume" : "7" }, "uris" : [ "http://www.mendeley.com/documents/?uuid=8a5abd28-b1f8-3ec1-b670-8772e52154ad" ] } ], "mendeley" : { "formattedCitation" : "&lt;sup&gt;8,9&lt;/sup&gt;", "plainTextFormattedCitation" : "8,9", "previouslyFormattedCitation" : "&lt;sup&gt;8,9&lt;/sup&gt;" }, "properties" : {  }, "schema" : "https://github.com/citation-style-language/schema/raw/master/csl-citation.json" }</w:instrText>
      </w:r>
      <w:r>
        <w:fldChar w:fldCharType="separate"/>
      </w:r>
      <w:r w:rsidR="00AA6196" w:rsidRPr="00AA6196">
        <w:rPr>
          <w:noProof/>
          <w:vertAlign w:val="superscript"/>
        </w:rPr>
        <w:t>8,9</w:t>
      </w:r>
      <w:r>
        <w:fldChar w:fldCharType="end"/>
      </w:r>
      <w:r>
        <w:t>.</w:t>
      </w:r>
    </w:p>
    <w:p w14:paraId="6653E62F" w14:textId="32C1075E" w:rsidR="007E7F7C" w:rsidRDefault="007E7F7C" w:rsidP="007E7F7C">
      <w:r>
        <w:t>In addition, polypoid cells are thought to be less sensitive to the loss or gain of chromosomes than diploid cells, as their genome is buffered with the extra set of chromosomes</w:t>
      </w:r>
      <w:r>
        <w:fldChar w:fldCharType="begin" w:fldLock="1"/>
      </w:r>
      <w:r w:rsidR="00AA6196">
        <w:instrText>ADDIN CSL_CITATION { "citationItems" : [ { "id" : "ITEM-1", "itemData" : { "DOI" : "10.1038/nrc1165", "ISSN" : "1474-175X", "abstract" : "The significance of unstable chromosomes in colorectal cancer", "author" : [ { "dropping-particle" : "", "family" : "Rajagopalan", "given" : "Harith", "non-dropping-particle" : "", "parse-names" : false, "suffix" : "" }, { "dropping-particle" : "", "family" : "Nowak", "given" : "Martin A.", "non-dropping-particle" : "", "parse-names" : false, "suffix" : "" }, { "dropping-particle" : "", "family" : "Vogelstein", "given" : "Bert", "non-dropping-particle" : "", "parse-names" : false, "suffix" : "" }, { "dropping-particle" : "", "family" : "Lengauer", "given" : "Christoph", "non-dropping-particle" : "", "parse-names" : false, "suffix" : "" } ], "container-title" : "Nature Reviews Cancer", "id" : "ITEM-1", "issue" : "9", "issued" : { "date-parts" : [ [ "2003", "9", "1" ] ] }, "page" : "695-701", "publisher" : "Nature Publishing Group", "title" : "The significance of unstable chromosomes in colorectal cancer", "type" : "article-journal", "volume" : "3" }, "uris" : [ "http://www.mendeley.com/documents/?uuid=7bcbd6bb-6d55-3477-9826-9b75d00bac01" ] } ], "mendeley" : { "formattedCitation" : "&lt;sup&gt;10&lt;/sup&gt;", "plainTextFormattedCitation" : "10", "previouslyFormattedCitation" : "&lt;sup&gt;10&lt;/sup&gt;" }, "properties" : {  }, "schema" : "https://github.com/citation-style-language/schema/raw/master/csl-citation.json" }</w:instrText>
      </w:r>
      <w:r>
        <w:fldChar w:fldCharType="separate"/>
      </w:r>
      <w:r w:rsidR="00AA6196" w:rsidRPr="00AA6196">
        <w:rPr>
          <w:noProof/>
          <w:vertAlign w:val="superscript"/>
        </w:rPr>
        <w:t>10</w:t>
      </w:r>
      <w:r>
        <w:fldChar w:fldCharType="end"/>
      </w:r>
      <w:r>
        <w:t>.</w:t>
      </w:r>
    </w:p>
    <w:p w14:paraId="3BB2778F" w14:textId="77777777" w:rsidR="007E7F7C" w:rsidRDefault="007E7F7C" w:rsidP="007E7F7C"/>
    <w:p w14:paraId="009A5FFE" w14:textId="77777777" w:rsidR="00C60957" w:rsidRDefault="00C60957" w:rsidP="00C60957"/>
    <w:p w14:paraId="06746EC5" w14:textId="4ABF85D8" w:rsidR="007E7F7C" w:rsidRDefault="00C60957" w:rsidP="00AA6196">
      <w:r>
        <w:t xml:space="preserve">Alterations can take place as departures from an integer-valued set, known as polyploidy. There are two major methods for detecting alterations in chromosome number – fluorescent-based methods and genome sequencing. </w:t>
      </w:r>
    </w:p>
    <w:p w14:paraId="012A490A" w14:textId="77777777" w:rsidR="0081372A" w:rsidRDefault="0081372A" w:rsidP="00D1166C"/>
    <w:p w14:paraId="0698D78D" w14:textId="77777777" w:rsidR="00642126" w:rsidRDefault="00642126" w:rsidP="00D1166C"/>
    <w:p w14:paraId="4E40C213" w14:textId="420AD5C8" w:rsidR="0081372A" w:rsidRPr="00642126" w:rsidRDefault="0081372A" w:rsidP="00D1166C">
      <w:pPr>
        <w:rPr>
          <w:b/>
        </w:rPr>
      </w:pPr>
      <w:r w:rsidRPr="00642126">
        <w:rPr>
          <w:b/>
        </w:rPr>
        <w:t>Conclusion and Future directions</w:t>
      </w:r>
    </w:p>
    <w:p w14:paraId="34B82B54" w14:textId="5D7C68C6" w:rsidR="0081372A" w:rsidRDefault="0081372A" w:rsidP="00D1166C">
      <w:r>
        <w:t xml:space="preserve">Future directions include adding statistical and visualization support for more complex study designs, such as nested designs and time series experiments. </w:t>
      </w:r>
    </w:p>
    <w:p w14:paraId="09B8F021" w14:textId="77777777" w:rsidR="001C44F1" w:rsidRDefault="001C44F1" w:rsidP="00D1166C"/>
    <w:p w14:paraId="3EDDE508" w14:textId="5BCB9673" w:rsidR="00CA4F6E" w:rsidRPr="00642126" w:rsidRDefault="00CA4F6E" w:rsidP="00CA4F6E">
      <w:pPr>
        <w:rPr>
          <w:b/>
        </w:rPr>
      </w:pPr>
      <w:r>
        <w:rPr>
          <w:b/>
        </w:rPr>
        <w:t>Materials and Methods</w:t>
      </w:r>
    </w:p>
    <w:p w14:paraId="358018A2" w14:textId="77777777" w:rsidR="00CA4F6E" w:rsidRDefault="00CA4F6E" w:rsidP="00CA4F6E"/>
    <w:p w14:paraId="741F41F2" w14:textId="2CA5B2E7" w:rsidR="00CA4F6E" w:rsidRDefault="00CA4F6E" w:rsidP="00CA4F6E">
      <w:proofErr w:type="spellStart"/>
      <w:r>
        <w:t>Aneuvis</w:t>
      </w:r>
      <w:proofErr w:type="spellEnd"/>
      <w:r>
        <w:t xml:space="preserve"> was created using Shiny version 1.0.5 (R version 3.4.3) and is available under a GPLv3 license</w:t>
      </w:r>
      <w:r>
        <w:t xml:space="preserve">. Permutation testing is set to 250 permutations by default. Source code </w:t>
      </w:r>
      <w:r w:rsidR="008A74CD">
        <w:t xml:space="preserve">and versioning history </w:t>
      </w:r>
      <w:r>
        <w:t xml:space="preserve">is available on </w:t>
      </w:r>
      <w:proofErr w:type="spellStart"/>
      <w:r>
        <w:t>git</w:t>
      </w:r>
      <w:r w:rsidR="008A74CD">
        <w:t>hub</w:t>
      </w:r>
      <w:proofErr w:type="spellEnd"/>
      <w:r w:rsidR="008A74CD">
        <w:t>.</w:t>
      </w:r>
    </w:p>
    <w:p w14:paraId="25581301" w14:textId="77777777" w:rsidR="00CA4F6E" w:rsidRDefault="00CA4F6E" w:rsidP="00D1166C"/>
    <w:p w14:paraId="14CB7112" w14:textId="5BBD884B" w:rsidR="001C44F1" w:rsidRPr="001C44F1" w:rsidRDefault="001C44F1" w:rsidP="00D1166C">
      <w:pPr>
        <w:rPr>
          <w:b/>
        </w:rPr>
      </w:pPr>
      <w:r w:rsidRPr="001C44F1">
        <w:rPr>
          <w:b/>
        </w:rPr>
        <w:t>Bibliography</w:t>
      </w:r>
    </w:p>
    <w:p w14:paraId="16E0CCC6" w14:textId="77777777" w:rsidR="001C44F1" w:rsidRDefault="001C44F1" w:rsidP="00D1166C"/>
    <w:p w14:paraId="4C1003D0" w14:textId="77777777" w:rsidR="00AA6196" w:rsidRPr="00AA6196" w:rsidRDefault="001C44F1" w:rsidP="00AA6196">
      <w:pPr>
        <w:widowControl w:val="0"/>
        <w:autoSpaceDE w:val="0"/>
        <w:autoSpaceDN w:val="0"/>
        <w:adjustRightInd w:val="0"/>
        <w:rPr>
          <w:rFonts w:eastAsia="Times New Roman" w:cs="Times New Roman"/>
          <w:noProof/>
        </w:rPr>
      </w:pPr>
      <w:r>
        <w:fldChar w:fldCharType="begin" w:fldLock="1"/>
      </w:r>
      <w:r>
        <w:instrText xml:space="preserve">ADDIN Mendeley Bibliography CSL_BIBLIOGRAPHY </w:instrText>
      </w:r>
      <w:r>
        <w:fldChar w:fldCharType="separate"/>
      </w:r>
    </w:p>
    <w:p w14:paraId="1D6F19DB"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1.</w:t>
      </w:r>
      <w:r w:rsidRPr="00AA6196">
        <w:rPr>
          <w:rFonts w:eastAsia="Times New Roman" w:cs="Times New Roman"/>
          <w:noProof/>
        </w:rPr>
        <w:tab/>
        <w:t xml:space="preserve">Lengauer, C., Kinzler, K. W. &amp; Vogelstein, B. Genetic instability in colorectal cancers. </w:t>
      </w:r>
      <w:r w:rsidRPr="00AA6196">
        <w:rPr>
          <w:rFonts w:eastAsia="Times New Roman" w:cs="Times New Roman"/>
          <w:i/>
          <w:iCs/>
          <w:noProof/>
        </w:rPr>
        <w:t>Nature</w:t>
      </w:r>
      <w:r w:rsidRPr="00AA6196">
        <w:rPr>
          <w:rFonts w:eastAsia="Times New Roman" w:cs="Times New Roman"/>
          <w:noProof/>
        </w:rPr>
        <w:t xml:space="preserve"> </w:t>
      </w:r>
      <w:r w:rsidRPr="00AA6196">
        <w:rPr>
          <w:rFonts w:eastAsia="Times New Roman" w:cs="Times New Roman"/>
          <w:b/>
          <w:bCs/>
          <w:noProof/>
        </w:rPr>
        <w:t>386,</w:t>
      </w:r>
      <w:r w:rsidRPr="00AA6196">
        <w:rPr>
          <w:rFonts w:eastAsia="Times New Roman" w:cs="Times New Roman"/>
          <w:noProof/>
        </w:rPr>
        <w:t xml:space="preserve"> 623–627 (1997).</w:t>
      </w:r>
    </w:p>
    <w:p w14:paraId="4A3FB17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2.</w:t>
      </w:r>
      <w:r w:rsidRPr="00AA6196">
        <w:rPr>
          <w:rFonts w:eastAsia="Times New Roman" w:cs="Times New Roman"/>
          <w:noProof/>
        </w:rPr>
        <w:tab/>
        <w:t xml:space="preserve">Bayani, J. </w:t>
      </w:r>
      <w:r w:rsidRPr="00AA6196">
        <w:rPr>
          <w:rFonts w:eastAsia="Times New Roman" w:cs="Times New Roman"/>
          <w:i/>
          <w:iCs/>
          <w:noProof/>
        </w:rPr>
        <w:t>et al.</w:t>
      </w:r>
      <w:r w:rsidRPr="00AA6196">
        <w:rPr>
          <w:rFonts w:eastAsia="Times New Roman" w:cs="Times New Roman"/>
          <w:noProof/>
        </w:rPr>
        <w:t xml:space="preserve"> Distinct Patterns of Structural and Numerical Chromosomal Instability Characterize Sporadic Ovarian Cancer. </w:t>
      </w:r>
      <w:r w:rsidRPr="00AA6196">
        <w:rPr>
          <w:rFonts w:eastAsia="Times New Roman" w:cs="Times New Roman"/>
          <w:i/>
          <w:iCs/>
          <w:noProof/>
        </w:rPr>
        <w:t>Neoplasia</w:t>
      </w:r>
      <w:r w:rsidRPr="00AA6196">
        <w:rPr>
          <w:rFonts w:eastAsia="Times New Roman" w:cs="Times New Roman"/>
          <w:noProof/>
        </w:rPr>
        <w:t xml:space="preserve"> </w:t>
      </w:r>
      <w:r w:rsidRPr="00AA6196">
        <w:rPr>
          <w:rFonts w:eastAsia="Times New Roman" w:cs="Times New Roman"/>
          <w:b/>
          <w:bCs/>
          <w:noProof/>
        </w:rPr>
        <w:t>10,</w:t>
      </w:r>
      <w:r w:rsidRPr="00AA6196">
        <w:rPr>
          <w:rFonts w:eastAsia="Times New Roman" w:cs="Times New Roman"/>
          <w:noProof/>
        </w:rPr>
        <w:t xml:space="preserve"> 1057–IN3 (2008).</w:t>
      </w:r>
    </w:p>
    <w:p w14:paraId="0888D477"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3.</w:t>
      </w:r>
      <w:r w:rsidRPr="00AA6196">
        <w:rPr>
          <w:rFonts w:eastAsia="Times New Roman" w:cs="Times New Roman"/>
          <w:noProof/>
        </w:rPr>
        <w:tab/>
        <w:t xml:space="preserve">Blegen, H. </w:t>
      </w:r>
      <w:r w:rsidRPr="00AA6196">
        <w:rPr>
          <w:rFonts w:eastAsia="Times New Roman" w:cs="Times New Roman"/>
          <w:i/>
          <w:iCs/>
          <w:noProof/>
        </w:rPr>
        <w:t>et al.</w:t>
      </w:r>
      <w:r w:rsidRPr="00AA6196">
        <w:rPr>
          <w:rFonts w:eastAsia="Times New Roman" w:cs="Times New Roman"/>
          <w:noProof/>
        </w:rPr>
        <w:t xml:space="preserve"> DNA amplifications and aneuploidy, high proliferative activity and impaired cell cycle control characterize breast carcinomas with poor prognosis. </w:t>
      </w:r>
      <w:r w:rsidRPr="00AA6196">
        <w:rPr>
          <w:rFonts w:eastAsia="Times New Roman" w:cs="Times New Roman"/>
          <w:i/>
          <w:iCs/>
          <w:noProof/>
        </w:rPr>
        <w:t>Anal. Cell. Pathol.</w:t>
      </w:r>
      <w:r w:rsidRPr="00AA6196">
        <w:rPr>
          <w:rFonts w:eastAsia="Times New Roman" w:cs="Times New Roman"/>
          <w:noProof/>
        </w:rPr>
        <w:t xml:space="preserve"> </w:t>
      </w:r>
      <w:r w:rsidRPr="00AA6196">
        <w:rPr>
          <w:rFonts w:eastAsia="Times New Roman" w:cs="Times New Roman"/>
          <w:b/>
          <w:bCs/>
          <w:noProof/>
        </w:rPr>
        <w:t>25,</w:t>
      </w:r>
      <w:r w:rsidRPr="00AA6196">
        <w:rPr>
          <w:rFonts w:eastAsia="Times New Roman" w:cs="Times New Roman"/>
          <w:noProof/>
        </w:rPr>
        <w:t xml:space="preserve"> 103–14 (2003).</w:t>
      </w:r>
    </w:p>
    <w:p w14:paraId="044B9AB9"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4.</w:t>
      </w:r>
      <w:r w:rsidRPr="00AA6196">
        <w:rPr>
          <w:rFonts w:eastAsia="Times New Roman" w:cs="Times New Roman"/>
          <w:noProof/>
        </w:rPr>
        <w:tab/>
        <w:t xml:space="preserve">Ried, T., Heselmeyer-Haddad, K., Blegen, H., Schröck, E. &amp; Auer, G. Genomic changes defining the genesis, progression, and malignancy potential in solid human tumors: A phenotype/genotype correlation. </w:t>
      </w:r>
      <w:r w:rsidRPr="00AA6196">
        <w:rPr>
          <w:rFonts w:eastAsia="Times New Roman" w:cs="Times New Roman"/>
          <w:i/>
          <w:iCs/>
          <w:noProof/>
        </w:rPr>
        <w:t>Genes Chromosom. Cancer</w:t>
      </w:r>
      <w:r w:rsidRPr="00AA6196">
        <w:rPr>
          <w:rFonts w:eastAsia="Times New Roman" w:cs="Times New Roman"/>
          <w:noProof/>
        </w:rPr>
        <w:t xml:space="preserve"> </w:t>
      </w:r>
      <w:r w:rsidRPr="00AA6196">
        <w:rPr>
          <w:rFonts w:eastAsia="Times New Roman" w:cs="Times New Roman"/>
          <w:b/>
          <w:bCs/>
          <w:noProof/>
        </w:rPr>
        <w:t>25,</w:t>
      </w:r>
      <w:r w:rsidRPr="00AA6196">
        <w:rPr>
          <w:rFonts w:eastAsia="Times New Roman" w:cs="Times New Roman"/>
          <w:noProof/>
        </w:rPr>
        <w:t xml:space="preserve"> 195–204 (1999).</w:t>
      </w:r>
    </w:p>
    <w:p w14:paraId="637B553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5.</w:t>
      </w:r>
      <w:r w:rsidRPr="00AA6196">
        <w:rPr>
          <w:rFonts w:eastAsia="Times New Roman" w:cs="Times New Roman"/>
          <w:noProof/>
        </w:rPr>
        <w:tab/>
        <w:t xml:space="preserve">Bakker, B. </w:t>
      </w:r>
      <w:r w:rsidRPr="00AA6196">
        <w:rPr>
          <w:rFonts w:eastAsia="Times New Roman" w:cs="Times New Roman"/>
          <w:i/>
          <w:iCs/>
          <w:noProof/>
        </w:rPr>
        <w:t>et al.</w:t>
      </w:r>
      <w:r w:rsidRPr="00AA6196">
        <w:rPr>
          <w:rFonts w:eastAsia="Times New Roman" w:cs="Times New Roman"/>
          <w:noProof/>
        </w:rPr>
        <w:t xml:space="preserve"> Single-cell sequencing reveals karyotype heterogeneity in murine and human malignancies. </w:t>
      </w:r>
      <w:r w:rsidRPr="00AA6196">
        <w:rPr>
          <w:rFonts w:eastAsia="Times New Roman" w:cs="Times New Roman"/>
          <w:i/>
          <w:iCs/>
          <w:noProof/>
        </w:rPr>
        <w:t>Genome Biol.</w:t>
      </w:r>
      <w:r w:rsidRPr="00AA6196">
        <w:rPr>
          <w:rFonts w:eastAsia="Times New Roman" w:cs="Times New Roman"/>
          <w:noProof/>
        </w:rPr>
        <w:t xml:space="preserve"> </w:t>
      </w:r>
      <w:r w:rsidRPr="00AA6196">
        <w:rPr>
          <w:rFonts w:eastAsia="Times New Roman" w:cs="Times New Roman"/>
          <w:b/>
          <w:bCs/>
          <w:noProof/>
        </w:rPr>
        <w:t>17,</w:t>
      </w:r>
      <w:r w:rsidRPr="00AA6196">
        <w:rPr>
          <w:rFonts w:eastAsia="Times New Roman" w:cs="Times New Roman"/>
          <w:noProof/>
        </w:rPr>
        <w:t xml:space="preserve"> 115 (2016).</w:t>
      </w:r>
    </w:p>
    <w:p w14:paraId="0D82018B"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6.</w:t>
      </w:r>
      <w:r w:rsidRPr="00AA6196">
        <w:rPr>
          <w:rFonts w:eastAsia="Times New Roman" w:cs="Times New Roman"/>
          <w:noProof/>
        </w:rPr>
        <w:tab/>
        <w:t xml:space="preserve">Mosieniak, G. </w:t>
      </w:r>
      <w:r w:rsidRPr="00AA6196">
        <w:rPr>
          <w:rFonts w:eastAsia="Times New Roman" w:cs="Times New Roman"/>
          <w:i/>
          <w:iCs/>
          <w:noProof/>
        </w:rPr>
        <w:t>et al.</w:t>
      </w:r>
      <w:r w:rsidRPr="00AA6196">
        <w:rPr>
          <w:rFonts w:eastAsia="Times New Roman" w:cs="Times New Roman"/>
          <w:noProof/>
        </w:rPr>
        <w:t xml:space="preserve"> Polyploidy Formation in Doxorubicin-Treated Cancer Cells Can Favor Escape from Senescence. </w:t>
      </w:r>
      <w:r w:rsidRPr="00AA6196">
        <w:rPr>
          <w:rFonts w:eastAsia="Times New Roman" w:cs="Times New Roman"/>
          <w:i/>
          <w:iCs/>
          <w:noProof/>
        </w:rPr>
        <w:t>Neoplasia</w:t>
      </w:r>
      <w:r w:rsidRPr="00AA6196">
        <w:rPr>
          <w:rFonts w:eastAsia="Times New Roman" w:cs="Times New Roman"/>
          <w:noProof/>
        </w:rPr>
        <w:t xml:space="preserve"> </w:t>
      </w:r>
      <w:r w:rsidRPr="00AA6196">
        <w:rPr>
          <w:rFonts w:eastAsia="Times New Roman" w:cs="Times New Roman"/>
          <w:b/>
          <w:bCs/>
          <w:noProof/>
        </w:rPr>
        <w:t>17,</w:t>
      </w:r>
      <w:r w:rsidRPr="00AA6196">
        <w:rPr>
          <w:rFonts w:eastAsia="Times New Roman" w:cs="Times New Roman"/>
          <w:noProof/>
        </w:rPr>
        <w:t xml:space="preserve"> 882–893 (2015).</w:t>
      </w:r>
    </w:p>
    <w:p w14:paraId="4F81F90D"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7.</w:t>
      </w:r>
      <w:r w:rsidRPr="00AA6196">
        <w:rPr>
          <w:rFonts w:eastAsia="Times New Roman" w:cs="Times New Roman"/>
          <w:noProof/>
        </w:rPr>
        <w:tab/>
        <w:t xml:space="preserve">Garvin, T. </w:t>
      </w:r>
      <w:r w:rsidRPr="00AA6196">
        <w:rPr>
          <w:rFonts w:eastAsia="Times New Roman" w:cs="Times New Roman"/>
          <w:i/>
          <w:iCs/>
          <w:noProof/>
        </w:rPr>
        <w:t>et al.</w:t>
      </w:r>
      <w:r w:rsidRPr="00AA6196">
        <w:rPr>
          <w:rFonts w:eastAsia="Times New Roman" w:cs="Times New Roman"/>
          <w:noProof/>
        </w:rPr>
        <w:t xml:space="preserve"> Interactive analysis and assessment of single-cell copy-number variations. </w:t>
      </w:r>
      <w:r w:rsidRPr="00AA6196">
        <w:rPr>
          <w:rFonts w:eastAsia="Times New Roman" w:cs="Times New Roman"/>
          <w:i/>
          <w:iCs/>
          <w:noProof/>
        </w:rPr>
        <w:t>Nat. Methods</w:t>
      </w:r>
      <w:r w:rsidRPr="00AA6196">
        <w:rPr>
          <w:rFonts w:eastAsia="Times New Roman" w:cs="Times New Roman"/>
          <w:noProof/>
        </w:rPr>
        <w:t xml:space="preserve"> </w:t>
      </w:r>
      <w:r w:rsidRPr="00AA6196">
        <w:rPr>
          <w:rFonts w:eastAsia="Times New Roman" w:cs="Times New Roman"/>
          <w:b/>
          <w:bCs/>
          <w:noProof/>
        </w:rPr>
        <w:t>12,</w:t>
      </w:r>
      <w:r w:rsidRPr="00AA6196">
        <w:rPr>
          <w:rFonts w:eastAsia="Times New Roman" w:cs="Times New Roman"/>
          <w:noProof/>
        </w:rPr>
        <w:t xml:space="preserve"> 1058–1060 (2015).</w:t>
      </w:r>
    </w:p>
    <w:p w14:paraId="483C5378"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8.</w:t>
      </w:r>
      <w:r w:rsidRPr="00AA6196">
        <w:rPr>
          <w:rFonts w:eastAsia="Times New Roman" w:cs="Times New Roman"/>
          <w:noProof/>
        </w:rPr>
        <w:tab/>
        <w:t xml:space="preserve">Mason, J. M. </w:t>
      </w:r>
      <w:r w:rsidRPr="00AA6196">
        <w:rPr>
          <w:rFonts w:eastAsia="Times New Roman" w:cs="Times New Roman"/>
          <w:i/>
          <w:iCs/>
          <w:noProof/>
        </w:rPr>
        <w:t>et al.</w:t>
      </w:r>
      <w:r w:rsidRPr="00AA6196">
        <w:rPr>
          <w:rFonts w:eastAsia="Times New Roman" w:cs="Times New Roman"/>
          <w:noProof/>
        </w:rPr>
        <w:t xml:space="preserve"> Functional characterization of CFI-402257, a potent and selective Mps1/TTK kinase inhibitor, for the treatment of cancer. </w:t>
      </w:r>
      <w:r w:rsidRPr="00AA6196">
        <w:rPr>
          <w:rFonts w:eastAsia="Times New Roman" w:cs="Times New Roman"/>
          <w:i/>
          <w:iCs/>
          <w:noProof/>
        </w:rPr>
        <w:t>Proc. Natl. Acad. Sci. U. S. A.</w:t>
      </w:r>
      <w:r w:rsidRPr="00AA6196">
        <w:rPr>
          <w:rFonts w:eastAsia="Times New Roman" w:cs="Times New Roman"/>
          <w:noProof/>
        </w:rPr>
        <w:t xml:space="preserve"> </w:t>
      </w:r>
      <w:r w:rsidRPr="00AA6196">
        <w:rPr>
          <w:rFonts w:eastAsia="Times New Roman" w:cs="Times New Roman"/>
          <w:b/>
          <w:bCs/>
          <w:noProof/>
        </w:rPr>
        <w:t>114,</w:t>
      </w:r>
      <w:r w:rsidRPr="00AA6196">
        <w:rPr>
          <w:rFonts w:eastAsia="Times New Roman" w:cs="Times New Roman"/>
          <w:noProof/>
        </w:rPr>
        <w:t xml:space="preserve"> 3127–3132 (2017).</w:t>
      </w:r>
    </w:p>
    <w:p w14:paraId="4D5B0413"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9.</w:t>
      </w:r>
      <w:r w:rsidRPr="00AA6196">
        <w:rPr>
          <w:rFonts w:eastAsia="Times New Roman" w:cs="Times New Roman"/>
          <w:noProof/>
        </w:rPr>
        <w:tab/>
        <w:t xml:space="preserve">Jemaà, M. </w:t>
      </w:r>
      <w:r w:rsidRPr="00AA6196">
        <w:rPr>
          <w:rFonts w:eastAsia="Times New Roman" w:cs="Times New Roman"/>
          <w:i/>
          <w:iCs/>
          <w:noProof/>
        </w:rPr>
        <w:t>et al.</w:t>
      </w:r>
      <w:r w:rsidRPr="00AA6196">
        <w:rPr>
          <w:rFonts w:eastAsia="Times New Roman" w:cs="Times New Roman"/>
          <w:noProof/>
        </w:rPr>
        <w:t xml:space="preserve"> Whole-genome duplication increases tumor cell sensitivity to MPS1 inhibition. </w:t>
      </w:r>
      <w:r w:rsidRPr="00AA6196">
        <w:rPr>
          <w:rFonts w:eastAsia="Times New Roman" w:cs="Times New Roman"/>
          <w:i/>
          <w:iCs/>
          <w:noProof/>
        </w:rPr>
        <w:t>Oncotarget</w:t>
      </w:r>
      <w:r w:rsidRPr="00AA6196">
        <w:rPr>
          <w:rFonts w:eastAsia="Times New Roman" w:cs="Times New Roman"/>
          <w:noProof/>
        </w:rPr>
        <w:t xml:space="preserve"> </w:t>
      </w:r>
      <w:r w:rsidRPr="00AA6196">
        <w:rPr>
          <w:rFonts w:eastAsia="Times New Roman" w:cs="Times New Roman"/>
          <w:b/>
          <w:bCs/>
          <w:noProof/>
        </w:rPr>
        <w:t>7,</w:t>
      </w:r>
      <w:r w:rsidRPr="00AA6196">
        <w:rPr>
          <w:rFonts w:eastAsia="Times New Roman" w:cs="Times New Roman"/>
          <w:noProof/>
        </w:rPr>
        <w:t xml:space="preserve"> 885–901 (2016).</w:t>
      </w:r>
    </w:p>
    <w:p w14:paraId="37B832CE" w14:textId="77777777" w:rsidR="00AA6196" w:rsidRPr="00AA6196" w:rsidRDefault="00AA6196" w:rsidP="00AA6196">
      <w:pPr>
        <w:widowControl w:val="0"/>
        <w:autoSpaceDE w:val="0"/>
        <w:autoSpaceDN w:val="0"/>
        <w:adjustRightInd w:val="0"/>
        <w:ind w:left="640" w:hanging="640"/>
        <w:rPr>
          <w:rFonts w:eastAsia="Times New Roman" w:cs="Times New Roman"/>
          <w:noProof/>
        </w:rPr>
      </w:pPr>
      <w:r w:rsidRPr="00AA6196">
        <w:rPr>
          <w:rFonts w:eastAsia="Times New Roman" w:cs="Times New Roman"/>
          <w:noProof/>
        </w:rPr>
        <w:t>10.</w:t>
      </w:r>
      <w:r w:rsidRPr="00AA6196">
        <w:rPr>
          <w:rFonts w:eastAsia="Times New Roman" w:cs="Times New Roman"/>
          <w:noProof/>
        </w:rPr>
        <w:tab/>
        <w:t xml:space="preserve">Rajagopalan, H., Nowak, M. A., Vogelstein, B. &amp; Lengauer, C. The significance of unstable chromosomes in colorectal cancer. </w:t>
      </w:r>
      <w:r w:rsidRPr="00AA6196">
        <w:rPr>
          <w:rFonts w:eastAsia="Times New Roman" w:cs="Times New Roman"/>
          <w:i/>
          <w:iCs/>
          <w:noProof/>
        </w:rPr>
        <w:t>Nat. Rev. Cancer</w:t>
      </w:r>
      <w:r w:rsidRPr="00AA6196">
        <w:rPr>
          <w:rFonts w:eastAsia="Times New Roman" w:cs="Times New Roman"/>
          <w:noProof/>
        </w:rPr>
        <w:t xml:space="preserve"> </w:t>
      </w:r>
      <w:r w:rsidRPr="00AA6196">
        <w:rPr>
          <w:rFonts w:eastAsia="Times New Roman" w:cs="Times New Roman"/>
          <w:b/>
          <w:bCs/>
          <w:noProof/>
        </w:rPr>
        <w:t>3,</w:t>
      </w:r>
      <w:r w:rsidRPr="00AA6196">
        <w:rPr>
          <w:rFonts w:eastAsia="Times New Roman" w:cs="Times New Roman"/>
          <w:noProof/>
        </w:rPr>
        <w:t xml:space="preserve"> 695–701 (2003).</w:t>
      </w:r>
    </w:p>
    <w:p w14:paraId="3081E3E0" w14:textId="77777777" w:rsidR="00AA6196" w:rsidRPr="00AA6196" w:rsidRDefault="00AA6196" w:rsidP="00AA6196">
      <w:pPr>
        <w:widowControl w:val="0"/>
        <w:autoSpaceDE w:val="0"/>
        <w:autoSpaceDN w:val="0"/>
        <w:adjustRightInd w:val="0"/>
        <w:ind w:left="640" w:hanging="640"/>
        <w:rPr>
          <w:rFonts w:cs="Times New Roman"/>
          <w:noProof/>
        </w:rPr>
      </w:pPr>
      <w:r w:rsidRPr="00AA6196">
        <w:rPr>
          <w:rFonts w:eastAsia="Times New Roman" w:cs="Times New Roman"/>
          <w:noProof/>
        </w:rPr>
        <w:t>11.</w:t>
      </w:r>
      <w:r w:rsidRPr="00AA6196">
        <w:rPr>
          <w:rFonts w:eastAsia="Times New Roman" w:cs="Times New Roman"/>
          <w:noProof/>
        </w:rPr>
        <w:tab/>
        <w:t xml:space="preserve">Rösl, F., Arab, A., Klevenz, B. &amp; Hausen, H. The effect of DNA methylation on gene regulation of human papillomaviruses. </w:t>
      </w:r>
      <w:r w:rsidRPr="00AA6196">
        <w:rPr>
          <w:rFonts w:eastAsia="Times New Roman" w:cs="Times New Roman"/>
          <w:i/>
          <w:iCs/>
          <w:noProof/>
        </w:rPr>
        <w:t>J. Gen. Virol.</w:t>
      </w:r>
      <w:r w:rsidRPr="00AA6196">
        <w:rPr>
          <w:rFonts w:eastAsia="Times New Roman" w:cs="Times New Roman"/>
          <w:noProof/>
        </w:rPr>
        <w:t xml:space="preserve"> 791–801 (1993).</w:t>
      </w:r>
    </w:p>
    <w:p w14:paraId="491C96E7" w14:textId="1CB0A814" w:rsidR="001C44F1" w:rsidRPr="00D1166C" w:rsidRDefault="001C44F1" w:rsidP="00AA6196">
      <w:pPr>
        <w:widowControl w:val="0"/>
        <w:autoSpaceDE w:val="0"/>
        <w:autoSpaceDN w:val="0"/>
        <w:adjustRightInd w:val="0"/>
        <w:ind w:left="640" w:hanging="640"/>
      </w:pPr>
      <w:r>
        <w:fldChar w:fldCharType="end"/>
      </w:r>
    </w:p>
    <w:sectPr w:rsidR="001C44F1" w:rsidRPr="00D1166C" w:rsidSect="0017634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iel Pique" w:date="2018-05-09T16:04:00Z" w:initials="DP">
    <w:p w14:paraId="2406DA58" w14:textId="77777777" w:rsidR="00435ED6" w:rsidRPr="00A11C96" w:rsidRDefault="00435ED6" w:rsidP="00435ED6">
      <w:pPr>
        <w:shd w:val="clear" w:color="auto" w:fill="FFFFFF"/>
        <w:spacing w:beforeAutospacing="1" w:afterAutospacing="1" w:line="408" w:lineRule="atLeast"/>
        <w:textAlignment w:val="baseline"/>
        <w:rPr>
          <w:rFonts w:ascii="Times" w:hAnsi="Times" w:cs="Times New Roman"/>
          <w:color w:val="2A2A2A"/>
          <w:sz w:val="27"/>
          <w:szCs w:val="27"/>
        </w:rPr>
      </w:pPr>
      <w:r>
        <w:rPr>
          <w:rStyle w:val="CommentReference"/>
        </w:rPr>
        <w:annotationRef/>
      </w:r>
      <w:r w:rsidRPr="00A11C96">
        <w:rPr>
          <w:rFonts w:ascii="inherit" w:hAnsi="inherit" w:cs="Times New Roman"/>
          <w:b/>
          <w:bCs/>
          <w:i/>
          <w:color w:val="2A2A2A"/>
          <w:sz w:val="27"/>
          <w:szCs w:val="27"/>
          <w:bdr w:val="none" w:sz="0" w:space="0" w:color="auto" w:frame="1"/>
        </w:rPr>
        <w:t>Bioinformatics</w:t>
      </w:r>
      <w:r>
        <w:rPr>
          <w:rFonts w:ascii="inherit" w:hAnsi="inherit" w:cs="Times New Roman"/>
          <w:b/>
          <w:bCs/>
          <w:color w:val="2A2A2A"/>
          <w:sz w:val="27"/>
          <w:szCs w:val="27"/>
          <w:bdr w:val="none" w:sz="0" w:space="0" w:color="auto" w:frame="1"/>
        </w:rPr>
        <w:t xml:space="preserve"> </w:t>
      </w:r>
      <w:r w:rsidRPr="00A11C96">
        <w:rPr>
          <w:rFonts w:ascii="inherit" w:hAnsi="inherit" w:cs="Times New Roman"/>
          <w:b/>
          <w:bCs/>
          <w:color w:val="2A2A2A"/>
          <w:sz w:val="27"/>
          <w:szCs w:val="27"/>
          <w:bdr w:val="none" w:sz="0" w:space="0" w:color="auto" w:frame="1"/>
        </w:rPr>
        <w:t>Application Notes (up to 2 pages; this is approx. 1,300 words or 1,000 words plus one figure): </w:t>
      </w:r>
      <w:r w:rsidRPr="00A11C96">
        <w:rPr>
          <w:rFonts w:ascii="Times" w:hAnsi="Times" w:cs="Times New Roman"/>
          <w:color w:val="2A2A2A"/>
          <w:sz w:val="27"/>
          <w:szCs w:val="27"/>
        </w:rPr>
        <w:t>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14:paraId="2719BC26" w14:textId="2153B9AD" w:rsidR="00435ED6" w:rsidRDefault="00435ED6">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19BC2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B1712" w14:textId="77777777" w:rsidR="00CE29A9" w:rsidRDefault="00CE29A9" w:rsidP="003B0273">
      <w:r>
        <w:separator/>
      </w:r>
    </w:p>
  </w:endnote>
  <w:endnote w:type="continuationSeparator" w:id="0">
    <w:p w14:paraId="20050175" w14:textId="77777777" w:rsidR="00CE29A9" w:rsidRDefault="00CE29A9" w:rsidP="003B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F749CE" w14:textId="77777777" w:rsidR="00CE29A9" w:rsidRDefault="00CE29A9" w:rsidP="003B0273">
      <w:r>
        <w:separator/>
      </w:r>
    </w:p>
  </w:footnote>
  <w:footnote w:type="continuationSeparator" w:id="0">
    <w:p w14:paraId="36E35CD8" w14:textId="77777777" w:rsidR="00CE29A9" w:rsidRDefault="00CE29A9" w:rsidP="003B0273">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Pique">
    <w15:presenceInfo w15:providerId="None" w15:userId="Daniel P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revisionView w:markup="0" w:insDel="0"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6C5"/>
    <w:rsid w:val="00000A1B"/>
    <w:rsid w:val="00001109"/>
    <w:rsid w:val="00001D6F"/>
    <w:rsid w:val="00005A65"/>
    <w:rsid w:val="00017980"/>
    <w:rsid w:val="00032BDD"/>
    <w:rsid w:val="00037E61"/>
    <w:rsid w:val="0005219A"/>
    <w:rsid w:val="0006194A"/>
    <w:rsid w:val="000626BF"/>
    <w:rsid w:val="00071078"/>
    <w:rsid w:val="0008136D"/>
    <w:rsid w:val="00083E99"/>
    <w:rsid w:val="000A2AFA"/>
    <w:rsid w:val="000B6F74"/>
    <w:rsid w:val="000C01CA"/>
    <w:rsid w:val="000D7AFB"/>
    <w:rsid w:val="000E0A00"/>
    <w:rsid w:val="000E2573"/>
    <w:rsid w:val="000F17F8"/>
    <w:rsid w:val="000F330F"/>
    <w:rsid w:val="000F5EC9"/>
    <w:rsid w:val="0012074D"/>
    <w:rsid w:val="00141A8C"/>
    <w:rsid w:val="00143837"/>
    <w:rsid w:val="00160D6C"/>
    <w:rsid w:val="00161404"/>
    <w:rsid w:val="0017062F"/>
    <w:rsid w:val="00176345"/>
    <w:rsid w:val="0017774A"/>
    <w:rsid w:val="001824C0"/>
    <w:rsid w:val="00191519"/>
    <w:rsid w:val="00193D5B"/>
    <w:rsid w:val="001A5C56"/>
    <w:rsid w:val="001C44F1"/>
    <w:rsid w:val="001F3F3F"/>
    <w:rsid w:val="001F4050"/>
    <w:rsid w:val="00200C83"/>
    <w:rsid w:val="00202A20"/>
    <w:rsid w:val="002054FE"/>
    <w:rsid w:val="00225D72"/>
    <w:rsid w:val="00237C36"/>
    <w:rsid w:val="002778BB"/>
    <w:rsid w:val="00284DE2"/>
    <w:rsid w:val="002871E6"/>
    <w:rsid w:val="002A59BB"/>
    <w:rsid w:val="002B577C"/>
    <w:rsid w:val="002C209C"/>
    <w:rsid w:val="002D4681"/>
    <w:rsid w:val="002F6091"/>
    <w:rsid w:val="00301857"/>
    <w:rsid w:val="00303879"/>
    <w:rsid w:val="00303F86"/>
    <w:rsid w:val="00337AB8"/>
    <w:rsid w:val="00343FF5"/>
    <w:rsid w:val="00345837"/>
    <w:rsid w:val="00360345"/>
    <w:rsid w:val="00361B76"/>
    <w:rsid w:val="00363479"/>
    <w:rsid w:val="003943B9"/>
    <w:rsid w:val="003A094D"/>
    <w:rsid w:val="003A16FF"/>
    <w:rsid w:val="003B0273"/>
    <w:rsid w:val="003D0CE1"/>
    <w:rsid w:val="003D42B7"/>
    <w:rsid w:val="003E41B7"/>
    <w:rsid w:val="003F3F3D"/>
    <w:rsid w:val="003F6964"/>
    <w:rsid w:val="00403571"/>
    <w:rsid w:val="00421616"/>
    <w:rsid w:val="00435ED6"/>
    <w:rsid w:val="00436288"/>
    <w:rsid w:val="00447F97"/>
    <w:rsid w:val="00451FF3"/>
    <w:rsid w:val="00456B19"/>
    <w:rsid w:val="00465D20"/>
    <w:rsid w:val="00466825"/>
    <w:rsid w:val="004A2936"/>
    <w:rsid w:val="004C50E6"/>
    <w:rsid w:val="004D357E"/>
    <w:rsid w:val="004D5773"/>
    <w:rsid w:val="004D64FB"/>
    <w:rsid w:val="004F11BD"/>
    <w:rsid w:val="004F741C"/>
    <w:rsid w:val="005060B9"/>
    <w:rsid w:val="005126C1"/>
    <w:rsid w:val="00536AD6"/>
    <w:rsid w:val="00561161"/>
    <w:rsid w:val="005844B7"/>
    <w:rsid w:val="00586C3D"/>
    <w:rsid w:val="00592B1B"/>
    <w:rsid w:val="005A38A6"/>
    <w:rsid w:val="005B6793"/>
    <w:rsid w:val="005C2248"/>
    <w:rsid w:val="005C5823"/>
    <w:rsid w:val="005F1874"/>
    <w:rsid w:val="005F2C05"/>
    <w:rsid w:val="005F519A"/>
    <w:rsid w:val="00603291"/>
    <w:rsid w:val="00610AD3"/>
    <w:rsid w:val="0061416E"/>
    <w:rsid w:val="006367B9"/>
    <w:rsid w:val="00642126"/>
    <w:rsid w:val="00672C82"/>
    <w:rsid w:val="006814B7"/>
    <w:rsid w:val="0068280A"/>
    <w:rsid w:val="00687B91"/>
    <w:rsid w:val="00697F6F"/>
    <w:rsid w:val="006A0C16"/>
    <w:rsid w:val="006A29BF"/>
    <w:rsid w:val="006C6981"/>
    <w:rsid w:val="006D1AC6"/>
    <w:rsid w:val="006D4BF5"/>
    <w:rsid w:val="006E650E"/>
    <w:rsid w:val="00710C4F"/>
    <w:rsid w:val="007146B9"/>
    <w:rsid w:val="007261E8"/>
    <w:rsid w:val="007B2415"/>
    <w:rsid w:val="007B268F"/>
    <w:rsid w:val="007B3C43"/>
    <w:rsid w:val="007C0ECC"/>
    <w:rsid w:val="007D1AEC"/>
    <w:rsid w:val="007E3C55"/>
    <w:rsid w:val="007E7F7C"/>
    <w:rsid w:val="008013A9"/>
    <w:rsid w:val="008043E3"/>
    <w:rsid w:val="00810D0E"/>
    <w:rsid w:val="0081372A"/>
    <w:rsid w:val="00820A2F"/>
    <w:rsid w:val="00827A43"/>
    <w:rsid w:val="00840C74"/>
    <w:rsid w:val="0084267F"/>
    <w:rsid w:val="00853A5B"/>
    <w:rsid w:val="00860BB4"/>
    <w:rsid w:val="00862D71"/>
    <w:rsid w:val="00865A24"/>
    <w:rsid w:val="00867BF1"/>
    <w:rsid w:val="008879EC"/>
    <w:rsid w:val="008A74CD"/>
    <w:rsid w:val="008B4CBC"/>
    <w:rsid w:val="008E263D"/>
    <w:rsid w:val="008E62F0"/>
    <w:rsid w:val="008F2270"/>
    <w:rsid w:val="008F3EF3"/>
    <w:rsid w:val="009077EE"/>
    <w:rsid w:val="00926C7A"/>
    <w:rsid w:val="00927C3E"/>
    <w:rsid w:val="00927FD9"/>
    <w:rsid w:val="00931633"/>
    <w:rsid w:val="00932E9B"/>
    <w:rsid w:val="00934717"/>
    <w:rsid w:val="00936601"/>
    <w:rsid w:val="00953185"/>
    <w:rsid w:val="00980142"/>
    <w:rsid w:val="009848BE"/>
    <w:rsid w:val="00994DE3"/>
    <w:rsid w:val="009A69C4"/>
    <w:rsid w:val="009C39C4"/>
    <w:rsid w:val="009C4E87"/>
    <w:rsid w:val="009C51DE"/>
    <w:rsid w:val="00A0332D"/>
    <w:rsid w:val="00A039A5"/>
    <w:rsid w:val="00A1042C"/>
    <w:rsid w:val="00A11C96"/>
    <w:rsid w:val="00A16BAC"/>
    <w:rsid w:val="00A25EF9"/>
    <w:rsid w:val="00A27504"/>
    <w:rsid w:val="00A4725A"/>
    <w:rsid w:val="00A56ECF"/>
    <w:rsid w:val="00A66D0A"/>
    <w:rsid w:val="00A67A0D"/>
    <w:rsid w:val="00A67DB8"/>
    <w:rsid w:val="00A72C13"/>
    <w:rsid w:val="00AA336C"/>
    <w:rsid w:val="00AA36E1"/>
    <w:rsid w:val="00AA40AD"/>
    <w:rsid w:val="00AA6196"/>
    <w:rsid w:val="00AB478E"/>
    <w:rsid w:val="00AD49D2"/>
    <w:rsid w:val="00AE2C17"/>
    <w:rsid w:val="00AF031E"/>
    <w:rsid w:val="00B03C34"/>
    <w:rsid w:val="00B114BF"/>
    <w:rsid w:val="00B20BED"/>
    <w:rsid w:val="00B44D8A"/>
    <w:rsid w:val="00B515F2"/>
    <w:rsid w:val="00B57529"/>
    <w:rsid w:val="00B60FC6"/>
    <w:rsid w:val="00B74C2B"/>
    <w:rsid w:val="00B75286"/>
    <w:rsid w:val="00B765B4"/>
    <w:rsid w:val="00B77E21"/>
    <w:rsid w:val="00B80090"/>
    <w:rsid w:val="00B80F97"/>
    <w:rsid w:val="00B82A2A"/>
    <w:rsid w:val="00BA292C"/>
    <w:rsid w:val="00BB205A"/>
    <w:rsid w:val="00BC36AE"/>
    <w:rsid w:val="00BE49E6"/>
    <w:rsid w:val="00BF1428"/>
    <w:rsid w:val="00C20EF9"/>
    <w:rsid w:val="00C450D8"/>
    <w:rsid w:val="00C45CA1"/>
    <w:rsid w:val="00C52C11"/>
    <w:rsid w:val="00C60957"/>
    <w:rsid w:val="00C7101F"/>
    <w:rsid w:val="00C7745E"/>
    <w:rsid w:val="00C860A8"/>
    <w:rsid w:val="00CA4F6E"/>
    <w:rsid w:val="00CB3ADB"/>
    <w:rsid w:val="00CB4B49"/>
    <w:rsid w:val="00CC368B"/>
    <w:rsid w:val="00CE2445"/>
    <w:rsid w:val="00CE29A9"/>
    <w:rsid w:val="00CE2D3B"/>
    <w:rsid w:val="00CF3C1E"/>
    <w:rsid w:val="00D1166C"/>
    <w:rsid w:val="00D247AF"/>
    <w:rsid w:val="00D36599"/>
    <w:rsid w:val="00D511AC"/>
    <w:rsid w:val="00D531FE"/>
    <w:rsid w:val="00D6190D"/>
    <w:rsid w:val="00D72A98"/>
    <w:rsid w:val="00D776C5"/>
    <w:rsid w:val="00D86CC1"/>
    <w:rsid w:val="00D9783C"/>
    <w:rsid w:val="00D97B54"/>
    <w:rsid w:val="00DA525B"/>
    <w:rsid w:val="00DD77DA"/>
    <w:rsid w:val="00DE666E"/>
    <w:rsid w:val="00DF53C0"/>
    <w:rsid w:val="00DF6418"/>
    <w:rsid w:val="00E05321"/>
    <w:rsid w:val="00E25281"/>
    <w:rsid w:val="00E26202"/>
    <w:rsid w:val="00E271B7"/>
    <w:rsid w:val="00E41002"/>
    <w:rsid w:val="00E55669"/>
    <w:rsid w:val="00E56A22"/>
    <w:rsid w:val="00E666CB"/>
    <w:rsid w:val="00E77754"/>
    <w:rsid w:val="00E80583"/>
    <w:rsid w:val="00E8120B"/>
    <w:rsid w:val="00E834D4"/>
    <w:rsid w:val="00EA4120"/>
    <w:rsid w:val="00EA479D"/>
    <w:rsid w:val="00EC001B"/>
    <w:rsid w:val="00EC4AB8"/>
    <w:rsid w:val="00ED5C99"/>
    <w:rsid w:val="00EE12C5"/>
    <w:rsid w:val="00F01BCF"/>
    <w:rsid w:val="00F07E35"/>
    <w:rsid w:val="00F1751A"/>
    <w:rsid w:val="00F417E4"/>
    <w:rsid w:val="00F51B5F"/>
    <w:rsid w:val="00F53641"/>
    <w:rsid w:val="00F55A7E"/>
    <w:rsid w:val="00F82422"/>
    <w:rsid w:val="00F832C1"/>
    <w:rsid w:val="00F87B92"/>
    <w:rsid w:val="00FA3ACB"/>
    <w:rsid w:val="00FC7BD6"/>
    <w:rsid w:val="00FD7225"/>
    <w:rsid w:val="00FF1583"/>
    <w:rsid w:val="00FF67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F4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166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273"/>
    <w:pPr>
      <w:tabs>
        <w:tab w:val="center" w:pos="4680"/>
        <w:tab w:val="right" w:pos="9360"/>
      </w:tabs>
    </w:pPr>
  </w:style>
  <w:style w:type="character" w:customStyle="1" w:styleId="HeaderChar">
    <w:name w:val="Header Char"/>
    <w:basedOn w:val="DefaultParagraphFont"/>
    <w:link w:val="Header"/>
    <w:uiPriority w:val="99"/>
    <w:rsid w:val="003B0273"/>
  </w:style>
  <w:style w:type="paragraph" w:styleId="Footer">
    <w:name w:val="footer"/>
    <w:basedOn w:val="Normal"/>
    <w:link w:val="FooterChar"/>
    <w:uiPriority w:val="99"/>
    <w:unhideWhenUsed/>
    <w:rsid w:val="003B0273"/>
    <w:pPr>
      <w:tabs>
        <w:tab w:val="center" w:pos="4680"/>
        <w:tab w:val="right" w:pos="9360"/>
      </w:tabs>
    </w:pPr>
  </w:style>
  <w:style w:type="character" w:customStyle="1" w:styleId="FooterChar">
    <w:name w:val="Footer Char"/>
    <w:basedOn w:val="DefaultParagraphFont"/>
    <w:link w:val="Footer"/>
    <w:uiPriority w:val="99"/>
    <w:rsid w:val="003B0273"/>
  </w:style>
  <w:style w:type="paragraph" w:styleId="NormalWeb">
    <w:name w:val="Normal (Web)"/>
    <w:basedOn w:val="Normal"/>
    <w:uiPriority w:val="99"/>
    <w:semiHidden/>
    <w:unhideWhenUsed/>
    <w:rsid w:val="00A11C96"/>
    <w:pPr>
      <w:spacing w:before="100" w:beforeAutospacing="1" w:after="100" w:afterAutospacing="1"/>
    </w:pPr>
    <w:rPr>
      <w:rFonts w:cs="Times New Roman"/>
    </w:rPr>
  </w:style>
  <w:style w:type="character" w:styleId="Strong">
    <w:name w:val="Strong"/>
    <w:basedOn w:val="DefaultParagraphFont"/>
    <w:uiPriority w:val="22"/>
    <w:qFormat/>
    <w:rsid w:val="00A11C96"/>
    <w:rPr>
      <w:b/>
      <w:bCs/>
    </w:rPr>
  </w:style>
  <w:style w:type="paragraph" w:styleId="Caption">
    <w:name w:val="caption"/>
    <w:basedOn w:val="Normal"/>
    <w:next w:val="Normal"/>
    <w:uiPriority w:val="35"/>
    <w:unhideWhenUsed/>
    <w:qFormat/>
    <w:rsid w:val="00F51B5F"/>
    <w:pPr>
      <w:spacing w:after="200"/>
    </w:pPr>
    <w:rPr>
      <w:i/>
      <w:iCs/>
      <w:color w:val="44546A" w:themeColor="text2"/>
      <w:sz w:val="18"/>
      <w:szCs w:val="18"/>
    </w:rPr>
  </w:style>
  <w:style w:type="table" w:styleId="TableGrid">
    <w:name w:val="Table Grid"/>
    <w:basedOn w:val="TableNormal"/>
    <w:uiPriority w:val="39"/>
    <w:rsid w:val="00932E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87B91"/>
    <w:rPr>
      <w:color w:val="808080"/>
    </w:rPr>
  </w:style>
  <w:style w:type="character" w:styleId="CommentReference">
    <w:name w:val="annotation reference"/>
    <w:basedOn w:val="DefaultParagraphFont"/>
    <w:uiPriority w:val="99"/>
    <w:semiHidden/>
    <w:unhideWhenUsed/>
    <w:rsid w:val="00435ED6"/>
    <w:rPr>
      <w:sz w:val="18"/>
      <w:szCs w:val="18"/>
    </w:rPr>
  </w:style>
  <w:style w:type="paragraph" w:styleId="CommentText">
    <w:name w:val="annotation text"/>
    <w:basedOn w:val="Normal"/>
    <w:link w:val="CommentTextChar"/>
    <w:uiPriority w:val="99"/>
    <w:semiHidden/>
    <w:unhideWhenUsed/>
    <w:rsid w:val="00435ED6"/>
  </w:style>
  <w:style w:type="character" w:customStyle="1" w:styleId="CommentTextChar">
    <w:name w:val="Comment Text Char"/>
    <w:basedOn w:val="DefaultParagraphFont"/>
    <w:link w:val="CommentText"/>
    <w:uiPriority w:val="99"/>
    <w:semiHidden/>
    <w:rsid w:val="00435ED6"/>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35ED6"/>
    <w:rPr>
      <w:b/>
      <w:bCs/>
      <w:sz w:val="20"/>
      <w:szCs w:val="20"/>
    </w:rPr>
  </w:style>
  <w:style w:type="character" w:customStyle="1" w:styleId="CommentSubjectChar">
    <w:name w:val="Comment Subject Char"/>
    <w:basedOn w:val="CommentTextChar"/>
    <w:link w:val="CommentSubject"/>
    <w:uiPriority w:val="99"/>
    <w:semiHidden/>
    <w:rsid w:val="00435ED6"/>
    <w:rPr>
      <w:rFonts w:ascii="Times New Roman" w:hAnsi="Times New Roman"/>
      <w:b/>
      <w:bCs/>
      <w:sz w:val="20"/>
      <w:szCs w:val="20"/>
    </w:rPr>
  </w:style>
  <w:style w:type="paragraph" w:styleId="BalloonText">
    <w:name w:val="Balloon Text"/>
    <w:basedOn w:val="Normal"/>
    <w:link w:val="BalloonTextChar"/>
    <w:uiPriority w:val="99"/>
    <w:semiHidden/>
    <w:unhideWhenUsed/>
    <w:rsid w:val="00435ED6"/>
    <w:rPr>
      <w:rFonts w:cs="Times New Roman"/>
      <w:sz w:val="18"/>
      <w:szCs w:val="18"/>
    </w:rPr>
  </w:style>
  <w:style w:type="character" w:customStyle="1" w:styleId="BalloonTextChar">
    <w:name w:val="Balloon Text Char"/>
    <w:basedOn w:val="DefaultParagraphFont"/>
    <w:link w:val="BalloonText"/>
    <w:uiPriority w:val="99"/>
    <w:semiHidden/>
    <w:rsid w:val="00435ED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72116">
      <w:bodyDiv w:val="1"/>
      <w:marLeft w:val="0"/>
      <w:marRight w:val="0"/>
      <w:marTop w:val="0"/>
      <w:marBottom w:val="0"/>
      <w:divBdr>
        <w:top w:val="none" w:sz="0" w:space="0" w:color="auto"/>
        <w:left w:val="none" w:sz="0" w:space="0" w:color="auto"/>
        <w:bottom w:val="none" w:sz="0" w:space="0" w:color="auto"/>
        <w:right w:val="none" w:sz="0" w:space="0" w:color="auto"/>
      </w:divBdr>
    </w:div>
    <w:div w:id="942349246">
      <w:bodyDiv w:val="1"/>
      <w:marLeft w:val="0"/>
      <w:marRight w:val="0"/>
      <w:marTop w:val="0"/>
      <w:marBottom w:val="0"/>
      <w:divBdr>
        <w:top w:val="none" w:sz="0" w:space="0" w:color="auto"/>
        <w:left w:val="none" w:sz="0" w:space="0" w:color="auto"/>
        <w:bottom w:val="none" w:sz="0" w:space="0" w:color="auto"/>
        <w:right w:val="none" w:sz="0" w:space="0" w:color="auto"/>
      </w:divBdr>
    </w:div>
    <w:div w:id="1040711863">
      <w:bodyDiv w:val="1"/>
      <w:marLeft w:val="0"/>
      <w:marRight w:val="0"/>
      <w:marTop w:val="0"/>
      <w:marBottom w:val="0"/>
      <w:divBdr>
        <w:top w:val="none" w:sz="0" w:space="0" w:color="auto"/>
        <w:left w:val="none" w:sz="0" w:space="0" w:color="auto"/>
        <w:bottom w:val="none" w:sz="0" w:space="0" w:color="auto"/>
        <w:right w:val="none" w:sz="0" w:space="0" w:color="auto"/>
      </w:divBdr>
    </w:div>
    <w:div w:id="1070421228">
      <w:bodyDiv w:val="1"/>
      <w:marLeft w:val="0"/>
      <w:marRight w:val="0"/>
      <w:marTop w:val="0"/>
      <w:marBottom w:val="0"/>
      <w:divBdr>
        <w:top w:val="none" w:sz="0" w:space="0" w:color="auto"/>
        <w:left w:val="none" w:sz="0" w:space="0" w:color="auto"/>
        <w:bottom w:val="none" w:sz="0" w:space="0" w:color="auto"/>
        <w:right w:val="none" w:sz="0" w:space="0" w:color="auto"/>
      </w:divBdr>
    </w:div>
    <w:div w:id="194068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tiff"/><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AAE8B0C-25E0-7F4E-B6CF-C6938DF31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Pages>
  <Words>9181</Words>
  <Characters>52335</Characters>
  <Application>Microsoft Macintosh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Pique</dc:creator>
  <cp:keywords/>
  <dc:description/>
  <cp:lastModifiedBy>Daniel Pique</cp:lastModifiedBy>
  <cp:revision>50</cp:revision>
  <dcterms:created xsi:type="dcterms:W3CDTF">2018-05-09T18:38:00Z</dcterms:created>
  <dcterms:modified xsi:type="dcterms:W3CDTF">2018-05-11T11:36:00Z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http://www.zotero.org/styles/genome-biology</vt:lpwstr>
  </property>
  <property fmtid="{D5CDD505-2E9C-101B-9397-08002B2CF9AE}" pid="15" name="Mendeley Recent Style Name 6_1">
    <vt:lpwstr>Genome Biology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http://www.zotero.org/styles/spie-bios</vt:lpwstr>
  </property>
  <property fmtid="{D5CDD505-2E9C-101B-9397-08002B2CF9AE}" pid="19" name="Mendeley Recent Style Name 8_1">
    <vt:lpwstr>SPIE BiOS</vt:lpwstr>
  </property>
  <property fmtid="{D5CDD505-2E9C-101B-9397-08002B2CF9AE}" pid="20" name="Mendeley Recent Style Id 9_1">
    <vt:lpwstr>http://csl.mendeley.com/styles/471447051/springer-vancouver-brackets</vt:lpwstr>
  </property>
  <property fmtid="{D5CDD505-2E9C-101B-9397-08002B2CF9AE}" pid="21" name="Mendeley Recent Style Name 9_1">
    <vt:lpwstr>Springer - Vancouver (brackets) - Daniel Pique</vt:lpwstr>
  </property>
  <property fmtid="{D5CDD505-2E9C-101B-9397-08002B2CF9AE}" pid="22" name="Mendeley Document_1">
    <vt:lpwstr>True</vt:lpwstr>
  </property>
  <property fmtid="{D5CDD505-2E9C-101B-9397-08002B2CF9AE}" pid="23" name="Mendeley Unique User Id_1">
    <vt:lpwstr>47ce3be8-391e-3d5f-b777-bad41108f684</vt:lpwstr>
  </property>
  <property fmtid="{D5CDD505-2E9C-101B-9397-08002B2CF9AE}" pid="24" name="Mendeley Citation Style_1">
    <vt:lpwstr>http://www.zotero.org/styles/nature</vt:lpwstr>
  </property>
</Properties>
</file>