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003D7B" w:val="clear"/>
            <w:tcMar>
              <w:top w:type="dxa" w:w="600"/>
              <w:left w:type="dxa" w:w="400"/>
              <w:bottom w:type="dxa" w:w="600"/>
              <w:right w:type="dxa" w:w="400"/>
            </w:tcMar>
          </w:tcPr>
          <w:p>
            <w:pPr>
              <w:spacing w:after="80"/>
              <w:jc w:val="center"/>
            </w:pPr>
            <w:r>
              <w:rPr>
                <w:rFonts w:ascii="Calibri" w:cs="Calibri" w:eastAsia="Calibri" w:hAnsi="Calibri"/>
                <w:b/>
                <w:bCs/>
                <w:caps/>
                <w:color w:val="C8962B"/>
                <w:sz w:val="20"/>
                <w:szCs w:val="20"/>
              </w:rPr>
              <w:t xml:space="preserve">ELEVEN JUNE CONSULTING</w:t>
            </w:r>
          </w:p>
          <w:p>
            <w:pPr>
              <w:spacing w:after="80"/>
              <w:jc w:val="center"/>
            </w:pPr>
            <w:r>
              <w:rPr>
                <w:rFonts w:ascii="Calibri" w:cs="Calibri" w:eastAsia="Calibri" w:hAnsi="Calibri"/>
                <w:b/>
                <w:bCs/>
                <w:color w:val="FFFFFF"/>
                <w:sz w:val="36"/>
                <w:szCs w:val="36"/>
              </w:rPr>
              <w:t xml:space="preserve">DPIRD Western Australia — Digital SME Support Platform</w:t>
            </w:r>
          </w:p>
          <w:p>
            <w:pPr>
              <w:spacing w:after="80"/>
              <w:jc w:val="center"/>
            </w:pPr>
            <w:r>
              <w:rPr>
                <w:rFonts w:ascii="Calibri" w:cs="Calibri" w:eastAsia="Calibri" w:hAnsi="Calibri"/>
                <w:b/>
                <w:bCs/>
                <w:color w:val="C8962B"/>
                <w:sz w:val="28"/>
                <w:szCs w:val="28"/>
              </w:rPr>
              <w:t xml:space="preserve">Internal Diagnostic Application</w:t>
            </w:r>
          </w:p>
          <w:p>
            <w:pPr>
              <w:spacing w:after="80"/>
              <w:jc w:val="center"/>
            </w:pPr>
            <w:r>
              <w:rPr>
                <w:rFonts w:ascii="Calibri" w:cs="Calibri" w:eastAsia="Calibri" w:hAnsi="Calibri"/>
                <w:color w:val="C8962B"/>
                <w:sz w:val="24"/>
                <w:szCs w:val="24"/>
              </w:rPr>
              <w:t xml:space="preserve">━━━━━━━━━━━━━━━━━━━━━━━━━━━━━━━━━━━━</w:t>
            </w:r>
          </w:p>
          <w:p>
            <w:pPr>
              <w:spacing w:after="80"/>
              <w:jc w:val="center"/>
            </w:pPr>
            <w:r>
              <w:rPr>
                <w:rFonts w:ascii="Calibri" w:cs="Calibri" w:eastAsia="Calibri" w:hAnsi="Calibri"/>
                <w:color w:val="CCDDEE"/>
                <w:sz w:val="22"/>
                <w:szCs w:val="22"/>
              </w:rPr>
              <w:t xml:space="preserve">USE CASE DOCUMENT  |  Phase 1 of 2</w:t>
            </w:r>
          </w:p>
          <w:p>
            <w:pPr>
              <w:spacing w:after="0"/>
              <w:jc w:val="center"/>
            </w:pPr>
            <w:r>
              <w:rPr>
                <w:rFonts w:ascii="Calibri" w:cs="Calibri" w:eastAsia="Calibri" w:hAnsi="Calibri"/>
                <w:color w:val="CCDDEE"/>
                <w:sz w:val="20"/>
                <w:szCs w:val="20"/>
              </w:rPr>
              <w:t xml:space="preserve">Version 1.0  ·  August 2026  ·  CONFIDENTIAL</w:t>
            </w:r>
          </w:p>
        </w:tc>
      </w:tr>
    </w:tbl>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Prepared by</w:t>
            </w:r>
          </w:p>
        </w:tc>
        <w:tc>
          <w:tcPr>
            <w:tcW w:type="dxa" w:w="716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Esteban Torres — Eleven June Consulting</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Client</w:t>
            </w:r>
          </w:p>
        </w:tc>
        <w:tc>
          <w:tcPr>
            <w:tcW w:type="dxa" w:w="716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 Department of Primary Industries and Regional Development (Western Australia)</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Project</w:t>
            </w:r>
          </w:p>
        </w:tc>
        <w:tc>
          <w:tcPr>
            <w:tcW w:type="dxa" w:w="716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Digital SME Support Platform — Internal Diagnostic Application</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Document type</w:t>
            </w:r>
          </w:p>
        </w:tc>
        <w:tc>
          <w:tcPr>
            <w:tcW w:type="dxa" w:w="716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Use Case Definition &amp; System Architecture (Phase 1)</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Reference model</w:t>
            </w:r>
          </w:p>
        </w:tc>
        <w:tc>
          <w:tcPr>
            <w:tcW w:type="dxa" w:w="716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Singapore IMDA — SMEs Go Digital Programme (Go Digital Advisor + Essential Business Solutions)</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Status</w:t>
            </w:r>
          </w:p>
        </w:tc>
        <w:tc>
          <w:tcPr>
            <w:tcW w:type="dxa" w:w="71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DRAFT — Pending DPIRD program list confirmation</w:t>
            </w:r>
          </w:p>
        </w:tc>
      </w:tr>
    </w:tbl>
    <w:p>
      <w:pPr>
        <w:spacing w:after="40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1. Executive Summary</w:t>
      </w:r>
    </w:p>
    <w:p>
      <w:pPr>
        <w:spacing w:after="120"/>
      </w:pPr>
    </w:p>
    <w:p>
      <w:pPr>
        <w:spacing w:after="120" w:line="276" w:lineRule="auto"/>
        <w:jc w:val="both"/>
      </w:pPr>
      <w:r>
        <w:rPr>
          <w:rFonts w:ascii="Calibri" w:cs="Calibri" w:eastAsia="Calibri" w:hAnsi="Calibri"/>
          <w:color w:val="333333"/>
          <w:sz w:val="22"/>
          <w:szCs w:val="22"/>
        </w:rPr>
        <w:t xml:space="preserve">DPIRD (Department of Primary Industries and Regional Development) seeks to build a comprehensive digital support platform for Small and Medium Enterprises (SMEs) in Western Australia. The platform will serve a dual purpose: provide self-service digital guidance to business owners, and equip DPIRD consultants with a structured diagnostic engine that automatically maps each SME profile to the most relevant government programs, vouchers, and grants.</w:t>
      </w:r>
    </w:p>
    <w:p>
      <w:pPr>
        <w:spacing w:after="80"/>
      </w:pPr>
    </w:p>
    <w:p>
      <w:pPr>
        <w:spacing w:after="120" w:line="276" w:lineRule="auto"/>
        <w:jc w:val="both"/>
      </w:pPr>
      <w:r>
        <w:rPr>
          <w:rFonts w:ascii="Calibri" w:cs="Calibri" w:eastAsia="Calibri" w:hAnsi="Calibri"/>
          <w:color w:val="333333"/>
          <w:sz w:val="22"/>
          <w:szCs w:val="22"/>
        </w:rPr>
        <w:t xml:space="preserve">This document defines the Use Case for the Internal Diagnostic Application — the intelligence layer of the platform. It draws heavily from the Singapore IMDA SMEs Go Digital model (one of the most mature SME digitalisation programmes in Asia-Pacific) and adapts it to the Western Australian regulatory, sectoral, and funding context.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thick" w:color="003D7B" w:sz="12"/>
              <w:left w:val="thick" w:color="003D7B" w:sz="12"/>
              <w:bottom w:val="nil"/>
              <w:right w:val="nil"/>
            </w:tcBorders>
            <w:shd w:fill="EAF2FB" w:val="clear"/>
            <w:tcMar>
              <w:top w:type="dxa" w:w="120"/>
              <w:left w:type="dxa" w:w="200"/>
              <w:bottom w:type="dxa" w:w="120"/>
              <w:right w:type="dxa" w:w="200"/>
            </w:tcMar>
          </w:tcPr>
          <w:p>
            <w:pPr>
              <w:spacing w:after="60"/>
            </w:pPr>
            <w:r>
              <w:rPr>
                <w:rFonts w:ascii="Calibri" w:cs="Calibri" w:eastAsia="Calibri" w:hAnsi="Calibri"/>
                <w:b/>
                <w:bCs/>
                <w:color w:val="003D7B"/>
                <w:sz w:val="22"/>
                <w:szCs w:val="22"/>
              </w:rPr>
              <w:t xml:space="preserve">Scope of this document</w:t>
            </w:r>
          </w:p>
          <w:p>
            <w:pPr>
              <w:spacing w:after="0"/>
            </w:pPr>
            <w:r>
              <w:rPr>
                <w:rFonts w:ascii="Calibri" w:cs="Calibri" w:eastAsia="Calibri" w:hAnsi="Calibri"/>
                <w:color w:val="333333"/>
                <w:sz w:val="20"/>
                <w:szCs w:val="20"/>
              </w:rPr>
              <w:t xml:space="preserve">This is a Phase 1 deliverable: the use case definition, diagnostic framework, program-mapping logic, dual-mode user flows, and system architecture. Phase 2 will implement these specifications on top of the existing React/Vite prototype.</w:t>
            </w:r>
          </w:p>
        </w:tc>
      </w:tr>
    </w:tbl>
    <w:p>
      <w:pPr>
        <w:spacing w:after="160"/>
      </w:pPr>
    </w:p>
    <w:p>
      <w:pPr>
        <w:pStyle w:val="Heading3"/>
        <w:spacing w:after="80" w:before="240"/>
      </w:pPr>
      <w:r>
        <w:rPr>
          <w:rFonts w:ascii="Calibri" w:cs="Calibri" w:eastAsia="Calibri" w:hAnsi="Calibri"/>
          <w:b/>
          <w:bCs/>
          <w:color w:val="1A6BAE"/>
          <w:sz w:val="22"/>
          <w:szCs w:val="22"/>
        </w:rPr>
        <w:t xml:space="preserve">Key Outcomes Expected from the Platform</w:t>
      </w:r>
    </w:p>
    <w:p>
      <w:pPr>
        <w:pStyle w:val="ListParagraph"/>
        <w:numPr>
          <w:ilvl w:val="0"/>
          <w:numId w:val="1"/>
        </w:numPr>
        <w:spacing w:after="80"/>
      </w:pPr>
      <w:r>
        <w:rPr>
          <w:rFonts w:ascii="Calibri" w:cs="Calibri" w:eastAsia="Calibri" w:hAnsi="Calibri"/>
          <w:color w:val="333333"/>
          <w:sz w:val="22"/>
          <w:szCs w:val="22"/>
        </w:rPr>
        <w:t xml:space="preserve">SMEs can independently assess their digital maturity across three dimensions: Operations, Digital Readiness, and Market Readiness.</w:t>
      </w:r>
    </w:p>
    <w:p>
      <w:pPr>
        <w:pStyle w:val="ListParagraph"/>
        <w:numPr>
          <w:ilvl w:val="0"/>
          <w:numId w:val="1"/>
        </w:numPr>
        <w:spacing w:after="80"/>
      </w:pPr>
      <w:r>
        <w:rPr>
          <w:rFonts w:ascii="Calibri" w:cs="Calibri" w:eastAsia="Calibri" w:hAnsi="Calibri"/>
          <w:color w:val="333333"/>
          <w:sz w:val="22"/>
          <w:szCs w:val="22"/>
        </w:rPr>
        <w:t xml:space="preserve">The system automatically recommends the most relevant DPIRD programs (e.g., Digital Shoestring, ESG Vouchers) based on the assessment results.</w:t>
      </w:r>
    </w:p>
    <w:p>
      <w:pPr>
        <w:pStyle w:val="ListParagraph"/>
        <w:numPr>
          <w:ilvl w:val="0"/>
          <w:numId w:val="1"/>
        </w:numPr>
        <w:spacing w:after="80"/>
      </w:pPr>
      <w:r>
        <w:rPr>
          <w:rFonts w:ascii="Calibri" w:cs="Calibri" w:eastAsia="Calibri" w:hAnsi="Calibri"/>
          <w:color w:val="333333"/>
          <w:sz w:val="22"/>
          <w:szCs w:val="22"/>
        </w:rPr>
        <w:t xml:space="preserve">DPIRD consultants access a richer "consultant mode" with scoring breakdowns, detailed program eligibility criteria, and exportable reports.</w:t>
      </w:r>
    </w:p>
    <w:p>
      <w:pPr>
        <w:pStyle w:val="ListParagraph"/>
        <w:numPr>
          <w:ilvl w:val="0"/>
          <w:numId w:val="1"/>
        </w:numPr>
        <w:spacing w:after="80"/>
      </w:pPr>
      <w:r>
        <w:rPr>
          <w:rFonts w:ascii="Calibri" w:cs="Calibri" w:eastAsia="Calibri" w:hAnsi="Calibri"/>
          <w:color w:val="333333"/>
          <w:sz w:val="22"/>
          <w:szCs w:val="22"/>
        </w:rPr>
        <w:t xml:space="preserve">All grants, resources, and industry digital plans are centralised in a single, searchable public-facing portal.</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2. Reference Model — Singapore SMEs Go Digital</w:t>
      </w:r>
    </w:p>
    <w:p>
      <w:pPr>
        <w:spacing w:after="120"/>
      </w:pPr>
    </w:p>
    <w:p>
      <w:pPr>
        <w:spacing w:after="120" w:line="276" w:lineRule="auto"/>
        <w:jc w:val="both"/>
      </w:pPr>
      <w:r>
        <w:rPr>
          <w:rFonts w:ascii="Calibri" w:cs="Calibri" w:eastAsia="Calibri" w:hAnsi="Calibri"/>
          <w:color w:val="333333"/>
          <w:sz w:val="22"/>
          <w:szCs w:val="22"/>
        </w:rPr>
        <w:t xml:space="preserve">Before defining the DPIRD solution, we studied the Singapore Infocomm Media Development Authority (IMDA) SMEs Go Digital programme — a government-backed initiative that guides SMEs from digital assessment through to grant-funded implementation. Two core tools informed our design:</w:t>
      </w:r>
    </w:p>
    <w:p>
      <w:pPr>
        <w:spacing w:after="80"/>
      </w:pPr>
    </w:p>
    <w:p>
      <w:pPr>
        <w:pStyle w:val="ListParagraph"/>
        <w:numPr>
          <w:ilvl w:val="0"/>
          <w:numId w:val="1"/>
        </w:numPr>
        <w:spacing w:after="80"/>
      </w:pPr>
      <w:r>
        <w:rPr>
          <w:rFonts w:ascii="Calibri" w:cs="Calibri" w:eastAsia="Calibri" w:hAnsi="Calibri"/>
          <w:b/>
          <w:bCs/>
          <w:color w:val="003D7B"/>
          <w:sz w:val="22"/>
          <w:szCs w:val="22"/>
        </w:rPr>
        <w:t xml:space="preserve">Go Digital Advisor: </w:t>
      </w:r>
      <w:r>
        <w:rPr>
          <w:rFonts w:ascii="Calibri" w:cs="Calibri" w:eastAsia="Calibri" w:hAnsi="Calibri"/>
          <w:color w:val="333333"/>
          <w:sz w:val="22"/>
          <w:szCs w:val="22"/>
        </w:rPr>
        <w:t xml:space="preserve">An interactive, step-by-step online tool that asks businesses about their sector, challenges, and desired capabilities, then recommends pre-approved digital solutions and matching grants.</w:t>
      </w:r>
    </w:p>
    <w:p>
      <w:pPr>
        <w:pStyle w:val="ListParagraph"/>
        <w:numPr>
          <w:ilvl w:val="0"/>
          <w:numId w:val="1"/>
        </w:numPr>
        <w:spacing w:after="80"/>
      </w:pPr>
      <w:r>
        <w:rPr>
          <w:rFonts w:ascii="Calibri" w:cs="Calibri" w:eastAsia="Calibri" w:hAnsi="Calibri"/>
          <w:b/>
          <w:bCs/>
          <w:color w:val="003D7B"/>
          <w:sz w:val="22"/>
          <w:szCs w:val="22"/>
        </w:rPr>
        <w:t xml:space="preserve">Essential Business Solutions: </w:t>
      </w:r>
      <w:r>
        <w:rPr>
          <w:rFonts w:ascii="Calibri" w:cs="Calibri" w:eastAsia="Calibri" w:hAnsi="Calibri"/>
          <w:color w:val="333333"/>
          <w:sz w:val="22"/>
          <w:szCs w:val="22"/>
        </w:rPr>
        <w:t xml:space="preserve">A curated catalogue of pre-vetted software and service solutions, organised by business function, that SMEs can adopt with co-funding support.</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2.1 Singapore Programme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520"/>
        <w:gridCol w:w="2520"/>
        <w:gridCol w:w="2520"/>
      </w:tblGrid>
      <w:tr>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Phase</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Step</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Mechanism</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Output</w:t>
            </w:r>
          </w:p>
        </w:tc>
      </w:tr>
      <w:tr>
        <w:tc>
          <w:tcPr>
            <w:tcW w:type="dxa" w:w="18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Diagnose</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Industry Digital Plan (IDP) by sector</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Sector-specific digital maturity maps</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Readiness score + priority areas</w:t>
            </w:r>
          </w:p>
        </w:tc>
      </w:tr>
      <w:tr>
        <w:tc>
          <w:tcPr>
            <w:tcW w:type="dxa" w:w="18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Match</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Go Digital Advisor wizard</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Business area → challenge → feature → result</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Recommended pre-approved solutions</w:t>
            </w:r>
          </w:p>
        </w:tc>
      </w:tr>
      <w:tr>
        <w:tc>
          <w:tcPr>
            <w:tcW w:type="dxa" w:w="18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Fund</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Grant matching (PSG / ADS / EDG / MRA)</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Rule-based eligibility engine</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Applicable grants + funding %</w:t>
            </w:r>
          </w:p>
        </w:tc>
      </w:tr>
      <w:tr>
        <w:tc>
          <w:tcPr>
            <w:tcW w:type="dxa" w:w="18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Support</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SME Digital Tech Hub / advisors</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Human-in-the-loop consultation</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Implementation roadmap</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2.2 Key Design Principles Adopted for DPIRD</w:t>
      </w:r>
    </w:p>
    <w:p>
      <w:pPr>
        <w:pStyle w:val="ListParagraph"/>
        <w:numPr>
          <w:ilvl w:val="0"/>
          <w:numId w:val="1"/>
        </w:numPr>
        <w:spacing w:after="80"/>
      </w:pPr>
      <w:r>
        <w:rPr>
          <w:rFonts w:ascii="Calibri" w:cs="Calibri" w:eastAsia="Calibri" w:hAnsi="Calibri"/>
          <w:b/>
          <w:bCs/>
          <w:color w:val="003D7B"/>
          <w:sz w:val="22"/>
          <w:szCs w:val="22"/>
        </w:rPr>
        <w:t xml:space="preserve">Sector-first thinking: </w:t>
      </w:r>
      <w:r>
        <w:rPr>
          <w:rFonts w:ascii="Calibri" w:cs="Calibri" w:eastAsia="Calibri" w:hAnsi="Calibri"/>
          <w:color w:val="333333"/>
          <w:sz w:val="22"/>
          <w:szCs w:val="22"/>
        </w:rPr>
        <w:t xml:space="preserve">Diagnosis starts with the business's industry/sector, not generic questions.</w:t>
      </w:r>
    </w:p>
    <w:p>
      <w:pPr>
        <w:pStyle w:val="ListParagraph"/>
        <w:numPr>
          <w:ilvl w:val="0"/>
          <w:numId w:val="1"/>
        </w:numPr>
        <w:spacing w:after="80"/>
      </w:pPr>
      <w:r>
        <w:rPr>
          <w:rFonts w:ascii="Calibri" w:cs="Calibri" w:eastAsia="Calibri" w:hAnsi="Calibri"/>
          <w:b/>
          <w:bCs/>
          <w:color w:val="003D7B"/>
          <w:sz w:val="22"/>
          <w:szCs w:val="22"/>
        </w:rPr>
        <w:t xml:space="preserve">Challenge-driven matching: </w:t>
      </w:r>
      <w:r>
        <w:rPr>
          <w:rFonts w:ascii="Calibri" w:cs="Calibri" w:eastAsia="Calibri" w:hAnsi="Calibri"/>
          <w:color w:val="333333"/>
          <w:sz w:val="22"/>
          <w:szCs w:val="22"/>
        </w:rPr>
        <w:t xml:space="preserve">Questions are framed as real pain points ("Can't keep track of stock") — not technical jargon.</w:t>
      </w:r>
    </w:p>
    <w:p>
      <w:pPr>
        <w:pStyle w:val="ListParagraph"/>
        <w:numPr>
          <w:ilvl w:val="0"/>
          <w:numId w:val="1"/>
        </w:numPr>
        <w:spacing w:after="80"/>
      </w:pPr>
      <w:r>
        <w:rPr>
          <w:rFonts w:ascii="Calibri" w:cs="Calibri" w:eastAsia="Calibri" w:hAnsi="Calibri"/>
          <w:b/>
          <w:bCs/>
          <w:color w:val="003D7B"/>
          <w:sz w:val="22"/>
          <w:szCs w:val="22"/>
        </w:rPr>
        <w:t xml:space="preserve">Automatic program mapping: </w:t>
      </w:r>
      <w:r>
        <w:rPr>
          <w:rFonts w:ascii="Calibri" w:cs="Calibri" w:eastAsia="Calibri" w:hAnsi="Calibri"/>
          <w:color w:val="333333"/>
          <w:sz w:val="22"/>
          <w:szCs w:val="22"/>
        </w:rPr>
        <w:t xml:space="preserve">The tool eliminates the need for businesses to know which program they qualify for — the system infers it.</w:t>
      </w:r>
    </w:p>
    <w:p>
      <w:pPr>
        <w:pStyle w:val="ListParagraph"/>
        <w:numPr>
          <w:ilvl w:val="0"/>
          <w:numId w:val="1"/>
        </w:numPr>
        <w:spacing w:after="80"/>
      </w:pPr>
      <w:r>
        <w:rPr>
          <w:rFonts w:ascii="Calibri" w:cs="Calibri" w:eastAsia="Calibri" w:hAnsi="Calibri"/>
          <w:b/>
          <w:bCs/>
          <w:color w:val="003D7B"/>
          <w:sz w:val="22"/>
          <w:szCs w:val="22"/>
        </w:rPr>
        <w:t xml:space="preserve">Dual audience: </w:t>
      </w:r>
      <w:r>
        <w:rPr>
          <w:rFonts w:ascii="Calibri" w:cs="Calibri" w:eastAsia="Calibri" w:hAnsi="Calibri"/>
          <w:color w:val="333333"/>
          <w:sz w:val="22"/>
          <w:szCs w:val="22"/>
        </w:rPr>
        <w:t xml:space="preserve">A public self-service layer for SMEs, plus a consultant-enhanced layer for DPIRD advisors.</w:t>
      </w:r>
    </w:p>
    <w:p>
      <w:pPr>
        <w:pStyle w:val="ListParagraph"/>
        <w:numPr>
          <w:ilvl w:val="0"/>
          <w:numId w:val="1"/>
        </w:numPr>
        <w:spacing w:after="80"/>
      </w:pPr>
      <w:r>
        <w:rPr>
          <w:rFonts w:ascii="Calibri" w:cs="Calibri" w:eastAsia="Calibri" w:hAnsi="Calibri"/>
          <w:b/>
          <w:bCs/>
          <w:color w:val="003D7B"/>
          <w:sz w:val="22"/>
          <w:szCs w:val="22"/>
        </w:rPr>
        <w:t xml:space="preserve">Graduated complexity: </w:t>
      </w:r>
      <w:r>
        <w:rPr>
          <w:rFonts w:ascii="Calibri" w:cs="Calibri" w:eastAsia="Calibri" w:hAnsi="Calibri"/>
          <w:color w:val="333333"/>
          <w:sz w:val="22"/>
          <w:szCs w:val="22"/>
        </w:rPr>
        <w:t xml:space="preserve">SMEs start simple (3-step wizard); consultants see the full scoring engine and rationale.</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3. DPIRD Context &amp; Opportunity</w:t>
      </w:r>
    </w:p>
    <w:p>
      <w:pPr>
        <w:spacing w:after="120"/>
      </w:pPr>
    </w:p>
    <w:p>
      <w:pPr>
        <w:spacing w:after="120" w:line="276" w:lineRule="auto"/>
        <w:jc w:val="both"/>
      </w:pPr>
      <w:r>
        <w:rPr>
          <w:rFonts w:ascii="Calibri" w:cs="Calibri" w:eastAsia="Calibri" w:hAnsi="Calibri"/>
          <w:color w:val="333333"/>
          <w:sz w:val="22"/>
          <w:szCs w:val="22"/>
        </w:rPr>
        <w:t xml:space="preserve">Western Australia's SME sector spans a diverse range of industries including agriculture, mining services, food and beverage, professional services, construction, and retail. DPIRD's mandate includes accelerating the digital transformation and economic resilience of these businesses — particularly those in regional and rural WA.</w:t>
      </w:r>
    </w:p>
    <w:p>
      <w:pPr>
        <w:spacing w:after="80"/>
      </w:pPr>
    </w:p>
    <w:p>
      <w:pPr>
        <w:spacing w:after="120" w:line="276" w:lineRule="auto"/>
        <w:jc w:val="both"/>
      </w:pPr>
      <w:r>
        <w:rPr>
          <w:rFonts w:ascii="Calibri" w:cs="Calibri" w:eastAsia="Calibri" w:hAnsi="Calibri"/>
          <w:color w:val="333333"/>
          <w:sz w:val="22"/>
          <w:szCs w:val="22"/>
        </w:rPr>
        <w:t xml:space="preserve">The core opportunity is threefold: (1) many WA SMEs are unaware of the specific government programs available to them; (2) consultant capacity is finite — a digital self-service tool multiplies reach; and (3) the existing DPIRD grant portfolio is dispersed and difficult for businesses to navigate without a guide.</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3.1 Existing Prototype Audit</w:t>
      </w:r>
    </w:p>
    <w:p>
      <w:pPr>
        <w:spacing w:after="120" w:line="276" w:lineRule="auto"/>
        <w:jc w:val="both"/>
      </w:pPr>
      <w:r>
        <w:rPr>
          <w:rFonts w:ascii="Calibri" w:cs="Calibri" w:eastAsia="Calibri" w:hAnsi="Calibri"/>
          <w:color w:val="333333"/>
          <w:sz w:val="22"/>
          <w:szCs w:val="22"/>
        </w:rPr>
        <w:t xml:space="preserve">A React/Vite/Tailwind prototype already exists with five pages. The following table maps current state against target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200"/>
        <w:gridCol w:w="3360"/>
      </w:tblGrid>
      <w:tr>
        <w:tc>
          <w:tcPr>
            <w:tcW w:type="dxa" w:w="16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Page</w:t>
            </w:r>
          </w:p>
        </w:tc>
        <w:tc>
          <w:tcPr>
            <w:tcW w:type="dxa" w:w="22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Current State</w:t>
            </w:r>
          </w:p>
        </w:tc>
        <w:tc>
          <w:tcPr>
            <w:tcW w:type="dxa" w:w="22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Gap</w:t>
            </w:r>
          </w:p>
        </w:tc>
        <w:tc>
          <w:tcPr>
            <w:tcW w:type="dxa" w:w="33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Phase 2 Target</w:t>
            </w:r>
          </w:p>
        </w:tc>
      </w:tr>
      <w:tr>
        <w:tc>
          <w:tcPr>
            <w:tcW w:type="dxa" w:w="16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Home</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Hero + 3 pathway cards + Industry Digital Plans bento grid</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 personalisation; static content</w:t>
            </w:r>
          </w:p>
        </w:tc>
        <w:tc>
          <w:tcPr>
            <w:tcW w:type="dxa" w:w="3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Dynamic featured programs; sector filter; consultant login entry point</w:t>
            </w:r>
          </w:p>
        </w:tc>
      </w:tr>
      <w:tr>
        <w:tc>
          <w:tcPr>
            <w:tcW w:type="dxa" w:w="16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Advisor</w:t>
            </w:r>
          </w:p>
        </w:tc>
        <w:tc>
          <w:tcPr>
            <w:tcW w:type="dxa" w:w="22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4-step wizard: Area → Challenges → Features → Results (basic)</w:t>
            </w:r>
          </w:p>
        </w:tc>
        <w:tc>
          <w:tcPr>
            <w:tcW w:type="dxa" w:w="22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 real program mapping; generic results; only 5 business areas; no 3-dimension model</w:t>
            </w:r>
          </w:p>
        </w:tc>
        <w:tc>
          <w:tcPr>
            <w:tcW w:type="dxa" w:w="3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Full 3-dimension diagnostic (Ops / Digital / Market); scoring engine; live DPIRD program mapping; exportable report</w:t>
            </w:r>
          </w:p>
        </w:tc>
      </w:tr>
      <w:tr>
        <w:tc>
          <w:tcPr>
            <w:tcW w:type="dxa" w:w="16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Grants</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Searchable list of 10+ DPIRD grants with eligibility details</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 link to advisor output; static data</w:t>
            </w:r>
          </w:p>
        </w:tc>
        <w:tc>
          <w:tcPr>
            <w:tcW w:type="dxa" w:w="3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Pre-filtered by advisor results; status badges; live-updated from data source</w:t>
            </w:r>
          </w:p>
        </w:tc>
      </w:tr>
      <w:tr>
        <w:tc>
          <w:tcPr>
            <w:tcW w:type="dxa" w:w="16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Resources</w:t>
            </w:r>
          </w:p>
        </w:tc>
        <w:tc>
          <w:tcPr>
            <w:tcW w:type="dxa" w:w="22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Category filter + resource cards</w:t>
            </w:r>
          </w:p>
        </w:tc>
        <w:tc>
          <w:tcPr>
            <w:tcW w:type="dxa" w:w="22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 sector-specific filtering; search not functional</w:t>
            </w:r>
          </w:p>
        </w:tc>
        <w:tc>
          <w:tcPr>
            <w:tcW w:type="dxa" w:w="3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Sector-aware filtering; functional search; linked to advisor recommendations</w:t>
            </w:r>
          </w:p>
        </w:tc>
      </w:tr>
      <w:tr>
        <w:tc>
          <w:tcPr>
            <w:tcW w:type="dxa" w:w="16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Flow</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Duplicate of Home (appears to be a draft copy)</w:t>
            </w:r>
          </w:p>
        </w:tc>
        <w:tc>
          <w:tcPr>
            <w:tcW w:type="dxa" w:w="22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Unused / redundant</w:t>
            </w:r>
          </w:p>
        </w:tc>
        <w:tc>
          <w:tcPr>
            <w:tcW w:type="dxa" w:w="3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Replace with Consultant Dashboard or convert to About/How It Works page</w:t>
            </w:r>
          </w:p>
        </w:tc>
      </w:tr>
    </w:tbl>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4. Use Case Definition — Internal Diagnostic Application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thick" w:color="003D7B" w:sz="12"/>
              <w:left w:val="thick" w:color="003D7B" w:sz="12"/>
              <w:bottom w:val="nil"/>
              <w:right w:val="nil"/>
            </w:tcBorders>
            <w:shd w:fill="EAF2FB" w:val="clear"/>
            <w:tcMar>
              <w:top w:type="dxa" w:w="120"/>
              <w:left w:type="dxa" w:w="200"/>
              <w:bottom w:type="dxa" w:w="120"/>
              <w:right w:type="dxa" w:w="200"/>
            </w:tcMar>
          </w:tcPr>
          <w:p>
            <w:pPr>
              <w:spacing w:after="60"/>
            </w:pPr>
            <w:r>
              <w:rPr>
                <w:rFonts w:ascii="Calibri" w:cs="Calibri" w:eastAsia="Calibri" w:hAnsi="Calibri"/>
                <w:b/>
                <w:bCs/>
                <w:color w:val="003D7B"/>
                <w:sz w:val="22"/>
                <w:szCs w:val="22"/>
              </w:rPr>
              <w:t xml:space="preserve">Use Case Name</w:t>
            </w:r>
          </w:p>
          <w:p>
            <w:pPr>
              <w:spacing w:after="0"/>
            </w:pPr>
            <w:r>
              <w:rPr>
                <w:rFonts w:ascii="Calibri" w:cs="Calibri" w:eastAsia="Calibri" w:hAnsi="Calibri"/>
                <w:color w:val="333333"/>
                <w:sz w:val="20"/>
                <w:szCs w:val="20"/>
              </w:rPr>
              <w:t xml:space="preserve">SME Digital Readiness Diagnostic &amp; DPIRD Program Mapping</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4.1 Overview</w:t>
      </w:r>
    </w:p>
    <w:p>
      <w:pPr>
        <w:spacing w:after="120" w:line="276" w:lineRule="auto"/>
        <w:jc w:val="both"/>
      </w:pPr>
      <w:r>
        <w:rPr>
          <w:rFonts w:ascii="Calibri" w:cs="Calibri" w:eastAsia="Calibri" w:hAnsi="Calibri"/>
          <w:color w:val="333333"/>
          <w:sz w:val="22"/>
          <w:szCs w:val="22"/>
        </w:rPr>
        <w:t xml:space="preserve">The Internal Diagnostic Application is the core intelligence layer of the DPIRD SME Support Platform. It ingests structured data about a business across three dimensions — Operations, Digital Readiness, and Market Readiness — and automatically maps the resulting profile to the most relevant DPIRD programs, vouchers, and grants. It operates in two modes depending on the user's role.</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4.2 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80"/>
        <w:gridCol w:w="3580"/>
      </w:tblGrid>
      <w:tr>
        <w:tc>
          <w:tcPr>
            <w:tcW w:type="dxa" w:w="22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Actor</w:t>
            </w:r>
          </w:p>
        </w:tc>
        <w:tc>
          <w:tcPr>
            <w:tcW w:type="dxa" w:w="358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SME Owner / Manager</w:t>
            </w:r>
          </w:p>
        </w:tc>
        <w:tc>
          <w:tcPr>
            <w:tcW w:type="dxa" w:w="358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DPIRD Consultant / Advisor</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Access mode</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Public self-service (no login required)</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Consultant mode (authenticated, role-based)</w:t>
            </w:r>
          </w:p>
        </w:tc>
      </w:tr>
      <w:tr>
        <w:tc>
          <w:tcPr>
            <w:tcW w:type="dxa" w:w="22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Entry point</w:t>
            </w:r>
          </w:p>
        </w:tc>
        <w:tc>
          <w:tcPr>
            <w:tcW w:type="dxa" w:w="358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dpird.wa.gov.au/sme-support → "Start Assessment"</w:t>
            </w:r>
          </w:p>
        </w:tc>
        <w:tc>
          <w:tcPr>
            <w:tcW w:type="dxa" w:w="358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Same portal → "Consultant Login" (top right)</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Diagnostic depth</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Guided wizard — plain language, 3 dimensions, ~15 questions</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Extended wizard + ability to manually adjust scores and override mappings</w:t>
            </w:r>
          </w:p>
        </w:tc>
      </w:tr>
      <w:tr>
        <w:tc>
          <w:tcPr>
            <w:tcW w:type="dxa" w:w="22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Output received</w:t>
            </w:r>
          </w:p>
        </w:tc>
        <w:tc>
          <w:tcPr>
            <w:tcW w:type="dxa" w:w="358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Recommended programs + resources + next steps (visual summary)</w:t>
            </w:r>
          </w:p>
        </w:tc>
        <w:tc>
          <w:tcPr>
            <w:tcW w:type="dxa" w:w="358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Full scoring breakdown + eligibility analysis + printable/shareable report</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Data retention</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Session-only by default; optional email to save results</w:t>
            </w:r>
          </w:p>
        </w:tc>
        <w:tc>
          <w:tcPr>
            <w:tcW w:type="dxa" w:w="358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Saved to consultant dashboard for case management</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4.3 Preconditions</w:t>
      </w:r>
    </w:p>
    <w:p>
      <w:pPr>
        <w:pStyle w:val="ListParagraph"/>
        <w:numPr>
          <w:ilvl w:val="0"/>
          <w:numId w:val="1"/>
        </w:numPr>
        <w:spacing w:after="80"/>
      </w:pPr>
      <w:r>
        <w:rPr>
          <w:rFonts w:ascii="Calibri" w:cs="Calibri" w:eastAsia="Calibri" w:hAnsi="Calibri"/>
          <w:color w:val="333333"/>
          <w:sz w:val="22"/>
          <w:szCs w:val="22"/>
        </w:rPr>
        <w:t xml:space="preserve">The DPIRD program catalogue is loaded into the application (initially via a structured JSON/data file; later via a CMS or API).</w:t>
      </w:r>
    </w:p>
    <w:p>
      <w:pPr>
        <w:pStyle w:val="ListParagraph"/>
        <w:numPr>
          <w:ilvl w:val="0"/>
          <w:numId w:val="1"/>
        </w:numPr>
        <w:spacing w:after="80"/>
      </w:pPr>
      <w:r>
        <w:rPr>
          <w:rFonts w:ascii="Calibri" w:cs="Calibri" w:eastAsia="Calibri" w:hAnsi="Calibri"/>
          <w:color w:val="333333"/>
          <w:sz w:val="22"/>
          <w:szCs w:val="22"/>
        </w:rPr>
        <w:t xml:space="preserve">The diagnostic question bank has been reviewed and approved by DPIRD subject matter experts.</w:t>
      </w:r>
    </w:p>
    <w:p>
      <w:pPr>
        <w:pStyle w:val="ListParagraph"/>
        <w:numPr>
          <w:ilvl w:val="0"/>
          <w:numId w:val="1"/>
        </w:numPr>
        <w:spacing w:after="80"/>
      </w:pPr>
      <w:r>
        <w:rPr>
          <w:rFonts w:ascii="Calibri" w:cs="Calibri" w:eastAsia="Calibri" w:hAnsi="Calibri"/>
          <w:color w:val="333333"/>
          <w:sz w:val="22"/>
          <w:szCs w:val="22"/>
        </w:rPr>
        <w:t xml:space="preserve">The program-to-score mapping rules have been validated by DPIRD program managers.</w:t>
      </w:r>
    </w:p>
    <w:p>
      <w:pPr>
        <w:pStyle w:val="ListParagraph"/>
        <w:numPr>
          <w:ilvl w:val="0"/>
          <w:numId w:val="1"/>
        </w:numPr>
        <w:spacing w:after="80"/>
      </w:pPr>
      <w:r>
        <w:rPr>
          <w:rFonts w:ascii="Calibri" w:cs="Calibri" w:eastAsia="Calibri" w:hAnsi="Calibri"/>
          <w:color w:val="333333"/>
          <w:sz w:val="22"/>
          <w:szCs w:val="22"/>
        </w:rPr>
        <w:t xml:space="preserve">For consultant mode: DPIRD staff have credentials issued by the system administrator.</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4.4 Main Success Flow (SME Self-Service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520"/>
        <w:gridCol w:w="3060"/>
        <w:gridCol w:w="3060"/>
      </w:tblGrid>
      <w:tr>
        <w:tc>
          <w:tcPr>
            <w:tcW w:type="dxa" w:w="7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Step</w:t>
            </w:r>
          </w:p>
        </w:tc>
        <w:tc>
          <w:tcPr>
            <w:tcW w:type="dxa" w:w="30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SME Action</w:t>
            </w:r>
          </w:p>
        </w:tc>
        <w:tc>
          <w:tcPr>
            <w:tcW w:type="dxa" w:w="30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System Response</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w:t>
            </w:r>
          </w:p>
        </w:tc>
        <w:tc>
          <w:tcPr>
            <w:tcW w:type="dxa" w:w="252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Landing</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Arrives at the platform homepage</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Displays 3 entry pathways: Digital Advisory, Tools &amp; Resources, Grants &amp; Support</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2</w:t>
            </w:r>
          </w:p>
        </w:tc>
        <w:tc>
          <w:tcPr>
            <w:tcW w:type="dxa" w:w="252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Sector Selection</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Selects their industry sector (e.g., Agriculture, Food Services, Retail, Construction)</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Loads sector-specific Industry Digital Plan context and tailored question set</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3</w:t>
            </w:r>
          </w:p>
        </w:tc>
        <w:tc>
          <w:tcPr>
            <w:tcW w:type="dxa" w:w="252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Business Profile</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Answers 3–4 profile questions (size, years operating, annual revenue band, location)</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Determines baseline eligibility filters for grant/program matching</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4</w:t>
            </w:r>
          </w:p>
        </w:tc>
        <w:tc>
          <w:tcPr>
            <w:tcW w:type="dxa" w:w="252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Dimension 1 — Operations</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Responds to 4–5 challenge-framed questions about operational processes</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Generates Operations Readiness Score (0–100)</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5</w:t>
            </w:r>
          </w:p>
        </w:tc>
        <w:tc>
          <w:tcPr>
            <w:tcW w:type="dxa" w:w="252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Dimension 2 — Digital Readiness</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Responds to 4–5 questions about current digital tool adoption</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Generates Digital Readiness Score (0–100)</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6</w:t>
            </w:r>
          </w:p>
        </w:tc>
        <w:tc>
          <w:tcPr>
            <w:tcW w:type="dxa" w:w="252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Dimension 3 — Market Readiness</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Responds to 3–4 questions about market reach, export readiness, and marketing maturity</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Generates Market Readiness Score (0–100)</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7</w:t>
            </w:r>
          </w:p>
        </w:tc>
        <w:tc>
          <w:tcPr>
            <w:tcW w:type="dxa" w:w="252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Results</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Views results dashboard</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Displays: overall digital maturity level, recommended DPIRD programs (ranked by fit), matching grants, top 3 recommended resources, next steps CTA</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8</w:t>
            </w:r>
          </w:p>
        </w:tc>
        <w:tc>
          <w:tcPr>
            <w:tcW w:type="dxa" w:w="252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Action</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Clicks on a recommended program or grant</w:t>
            </w:r>
          </w:p>
        </w:tc>
        <w:tc>
          <w:tcPr>
            <w:tcW w:type="dxa" w:w="30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Opens program detail page with eligibility checklist, how to apply, and "Book a consultant" CTA</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9</w:t>
            </w:r>
          </w:p>
        </w:tc>
        <w:tc>
          <w:tcPr>
            <w:tcW w:type="dxa" w:w="252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Save (optional)</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Enters email to save results</w:t>
            </w:r>
          </w:p>
        </w:tc>
        <w:tc>
          <w:tcPr>
            <w:tcW w:type="dxa" w:w="30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Emails a personalised PDF report and stores session for consultant follow-up</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4.5 Alternative Flow — Consultant Mode</w:t>
      </w:r>
    </w:p>
    <w:p>
      <w:pPr>
        <w:pStyle w:val="ListParagraph"/>
        <w:numPr>
          <w:ilvl w:val="0"/>
          <w:numId w:val="1"/>
        </w:numPr>
        <w:spacing w:after="80"/>
      </w:pPr>
      <w:r>
        <w:rPr>
          <w:rFonts w:ascii="Calibri" w:cs="Calibri" w:eastAsia="Calibri" w:hAnsi="Calibri"/>
          <w:color w:val="333333"/>
          <w:sz w:val="22"/>
          <w:szCs w:val="22"/>
        </w:rPr>
        <w:t xml:space="preserve">Consultant logs in with DPIRD credentials.</w:t>
      </w:r>
    </w:p>
    <w:p>
      <w:pPr>
        <w:pStyle w:val="ListParagraph"/>
        <w:numPr>
          <w:ilvl w:val="0"/>
          <w:numId w:val="1"/>
        </w:numPr>
        <w:spacing w:after="80"/>
      </w:pPr>
      <w:r>
        <w:rPr>
          <w:rFonts w:ascii="Calibri" w:cs="Calibri" w:eastAsia="Calibri" w:hAnsi="Calibri"/>
          <w:color w:val="333333"/>
          <w:sz w:val="22"/>
          <w:szCs w:val="22"/>
        </w:rPr>
        <w:t xml:space="preserve">Can start a new assessment on behalf of an SME, or retrieve a previously saved SME session.</w:t>
      </w:r>
    </w:p>
    <w:p>
      <w:pPr>
        <w:pStyle w:val="ListParagraph"/>
        <w:numPr>
          <w:ilvl w:val="0"/>
          <w:numId w:val="1"/>
        </w:numPr>
        <w:spacing w:after="80"/>
      </w:pPr>
      <w:r>
        <w:rPr>
          <w:rFonts w:ascii="Calibri" w:cs="Calibri" w:eastAsia="Calibri" w:hAnsi="Calibri"/>
          <w:color w:val="333333"/>
          <w:sz w:val="22"/>
          <w:szCs w:val="22"/>
        </w:rPr>
        <w:t xml:space="preserve">Wizard displays all standard questions PLUS additional fields: notes, override toggles, eligibility comments per program.</w:t>
      </w:r>
    </w:p>
    <w:p>
      <w:pPr>
        <w:pStyle w:val="ListParagraph"/>
        <w:numPr>
          <w:ilvl w:val="0"/>
          <w:numId w:val="1"/>
        </w:numPr>
        <w:spacing w:after="80"/>
      </w:pPr>
      <w:r>
        <w:rPr>
          <w:rFonts w:ascii="Calibri" w:cs="Calibri" w:eastAsia="Calibri" w:hAnsi="Calibri"/>
          <w:color w:val="333333"/>
          <w:sz w:val="22"/>
          <w:szCs w:val="22"/>
        </w:rPr>
        <w:t xml:space="preserve">Results screen shows full scoring breakdown (not just tier label) — exact scores per dimension, rationale per matched program, and programs that were close-but-not-matched with gap explanation.</w:t>
      </w:r>
    </w:p>
    <w:p>
      <w:pPr>
        <w:pStyle w:val="ListParagraph"/>
        <w:numPr>
          <w:ilvl w:val="0"/>
          <w:numId w:val="1"/>
        </w:numPr>
        <w:spacing w:after="80"/>
      </w:pPr>
      <w:r>
        <w:rPr>
          <w:rFonts w:ascii="Calibri" w:cs="Calibri" w:eastAsia="Calibri" w:hAnsi="Calibri"/>
          <w:color w:val="333333"/>
          <w:sz w:val="22"/>
          <w:szCs w:val="22"/>
        </w:rPr>
        <w:t xml:space="preserve">Consultant can generate and download a branded PDF report (DPIRD letterhead) for the SME.</w:t>
      </w:r>
    </w:p>
    <w:p>
      <w:pPr>
        <w:pStyle w:val="ListParagraph"/>
        <w:numPr>
          <w:ilvl w:val="0"/>
          <w:numId w:val="1"/>
        </w:numPr>
        <w:spacing w:after="80"/>
      </w:pPr>
      <w:r>
        <w:rPr>
          <w:rFonts w:ascii="Calibri" w:cs="Calibri" w:eastAsia="Calibri" w:hAnsi="Calibri"/>
          <w:color w:val="333333"/>
          <w:sz w:val="22"/>
          <w:szCs w:val="22"/>
        </w:rPr>
        <w:t xml:space="preserve">Report and SME profile are saved to the consultant's case management dashboard.</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4.6 Exception Flows</w:t>
      </w:r>
    </w:p>
    <w:p>
      <w:pPr>
        <w:pStyle w:val="ListParagraph"/>
        <w:numPr>
          <w:ilvl w:val="0"/>
          <w:numId w:val="1"/>
        </w:numPr>
        <w:spacing w:after="80"/>
      </w:pPr>
      <w:r>
        <w:rPr>
          <w:rFonts w:ascii="Calibri" w:cs="Calibri" w:eastAsia="Calibri" w:hAnsi="Calibri"/>
          <w:b/>
          <w:bCs/>
          <w:color w:val="003D7B"/>
          <w:sz w:val="22"/>
          <w:szCs w:val="22"/>
        </w:rPr>
        <w:t xml:space="preserve">Incomplete assessment: </w:t>
      </w:r>
      <w:r>
        <w:rPr>
          <w:rFonts w:ascii="Calibri" w:cs="Calibri" w:eastAsia="Calibri" w:hAnsi="Calibri"/>
          <w:color w:val="333333"/>
          <w:sz w:val="22"/>
          <w:szCs w:val="22"/>
        </w:rPr>
        <w:t xml:space="preserve">System saves progress; SME can resume via link or email. Partial results are shown with a completion prompt.</w:t>
      </w:r>
    </w:p>
    <w:p>
      <w:pPr>
        <w:pStyle w:val="ListParagraph"/>
        <w:numPr>
          <w:ilvl w:val="0"/>
          <w:numId w:val="1"/>
        </w:numPr>
        <w:spacing w:after="80"/>
      </w:pPr>
      <w:r>
        <w:rPr>
          <w:rFonts w:ascii="Calibri" w:cs="Calibri" w:eastAsia="Calibri" w:hAnsi="Calibri"/>
          <w:b/>
          <w:bCs/>
          <w:color w:val="003D7B"/>
          <w:sz w:val="22"/>
          <w:szCs w:val="22"/>
        </w:rPr>
        <w:t xml:space="preserve">No programs matched: </w:t>
      </w:r>
      <w:r>
        <w:rPr>
          <w:rFonts w:ascii="Calibri" w:cs="Calibri" w:eastAsia="Calibri" w:hAnsi="Calibri"/>
          <w:color w:val="333333"/>
          <w:sz w:val="22"/>
          <w:szCs w:val="22"/>
        </w:rPr>
        <w:t xml:space="preserve">System displays a "No current matches" message with a "Speak to a consultant" CTA. Does not leave the user without a next step.</w:t>
      </w:r>
    </w:p>
    <w:p>
      <w:pPr>
        <w:pStyle w:val="ListParagraph"/>
        <w:numPr>
          <w:ilvl w:val="0"/>
          <w:numId w:val="1"/>
        </w:numPr>
        <w:spacing w:after="80"/>
      </w:pPr>
      <w:r>
        <w:rPr>
          <w:rFonts w:ascii="Calibri" w:cs="Calibri" w:eastAsia="Calibri" w:hAnsi="Calibri"/>
          <w:b/>
          <w:bCs/>
          <w:color w:val="003D7B"/>
          <w:sz w:val="22"/>
          <w:szCs w:val="22"/>
        </w:rPr>
        <w:t xml:space="preserve">Program data out of date: </w:t>
      </w:r>
      <w:r>
        <w:rPr>
          <w:rFonts w:ascii="Calibri" w:cs="Calibri" w:eastAsia="Calibri" w:hAnsi="Calibri"/>
          <w:color w:val="333333"/>
          <w:sz w:val="22"/>
          <w:szCs w:val="22"/>
        </w:rPr>
        <w:t xml:space="preserve">Grants with a past close date are flagged "Closed" but remain searchable. System prompts administrators to update.</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5. Diagnostic Framework — Three-Dimension Assessment</w:t>
      </w:r>
    </w:p>
    <w:p>
      <w:pPr>
        <w:spacing w:after="120"/>
      </w:pPr>
    </w:p>
    <w:p>
      <w:pPr>
        <w:spacing w:after="120" w:line="276" w:lineRule="auto"/>
        <w:jc w:val="both"/>
      </w:pPr>
      <w:r>
        <w:rPr>
          <w:rFonts w:ascii="Calibri" w:cs="Calibri" w:eastAsia="Calibri" w:hAnsi="Calibri"/>
          <w:color w:val="333333"/>
          <w:sz w:val="22"/>
          <w:szCs w:val="22"/>
        </w:rPr>
        <w:t xml:space="preserve">The diagnostic engine scores an SME across three dimensions. Each dimension contains 4–5 questions scored on a 0–4 scale. Raw scores are normalised to a 0–100 index per dimension, then combined into an overall Digital Maturity Level (DML) using a weighted average.</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5.1 Scoring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600"/>
        <w:gridCol w:w="3760"/>
      </w:tblGrid>
      <w:tr>
        <w:tc>
          <w:tcPr>
            <w:tcW w:type="dxa" w:w="22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Dimension</w:t>
            </w:r>
          </w:p>
        </w:tc>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Weight</w:t>
            </w:r>
          </w:p>
        </w:tc>
        <w:tc>
          <w:tcPr>
            <w:tcW w:type="dxa" w:w="16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Max score</w:t>
            </w:r>
          </w:p>
        </w:tc>
        <w:tc>
          <w:tcPr>
            <w:tcW w:type="dxa" w:w="37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measures</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Operations Readiness</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35%</w:t>
            </w:r>
          </w:p>
        </w:tc>
        <w:tc>
          <w:tcPr>
            <w:tcW w:type="dxa" w:w="16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100</w:t>
            </w:r>
          </w:p>
        </w:tc>
        <w:tc>
          <w:tcPr>
            <w:tcW w:type="dxa" w:w="37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Process digitalisation, inventory/finance automation, staff management tools</w:t>
            </w:r>
          </w:p>
        </w:tc>
      </w:tr>
      <w:tr>
        <w:tc>
          <w:tcPr>
            <w:tcW w:type="dxa" w:w="22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Digital Readiness</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40%</w:t>
            </w:r>
          </w:p>
        </w:tc>
        <w:tc>
          <w:tcPr>
            <w:tcW w:type="dxa" w:w="16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100</w:t>
            </w:r>
          </w:p>
        </w:tc>
        <w:tc>
          <w:tcPr>
            <w:tcW w:type="dxa" w:w="37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Current technology stack, cloud adoption, cybersecurity posture, data capability</w:t>
            </w:r>
          </w:p>
        </w:tc>
      </w:tr>
      <w:tr>
        <w:tc>
          <w:tcPr>
            <w:tcW w:type="dxa" w:w="2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Market Readiness</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25%</w:t>
            </w:r>
          </w:p>
        </w:tc>
        <w:tc>
          <w:tcPr>
            <w:tcW w:type="dxa" w:w="16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100</w:t>
            </w:r>
          </w:p>
        </w:tc>
        <w:tc>
          <w:tcPr>
            <w:tcW w:type="dxa" w:w="37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Online presence, digital marketing, e-commerce, export/interstate reach</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5.2 Digital Maturity Levels (DML)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6360"/>
      </w:tblGrid>
      <w:tr>
        <w:tc>
          <w:tcPr>
            <w:tcW w:type="dxa" w:w="12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w:t>
            </w:r>
          </w:p>
        </w:tc>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Score range</w:t>
            </w:r>
          </w:p>
        </w:tc>
        <w:tc>
          <w:tcPr>
            <w:tcW w:type="dxa" w:w="63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1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1 — Foundational</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0 – 24</w:t>
            </w:r>
          </w:p>
        </w:tc>
        <w:tc>
          <w:tcPr>
            <w:tcW w:type="dxa" w:w="6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Minimal digital tools in use; primarily paper-based or spreadsheet-driven processes. Immediate priority: digital foundations.</w:t>
            </w:r>
          </w:p>
        </w:tc>
      </w:tr>
      <w:tr>
        <w:tc>
          <w:tcPr>
            <w:tcW w:type="dxa" w:w="12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2 — Emerging</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25 – 49</w:t>
            </w:r>
          </w:p>
        </w:tc>
        <w:tc>
          <w:tcPr>
            <w:tcW w:type="dxa" w:w="6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Some digital tools adopted (e.g., accounting software, basic website). Gaps in automation, data management, and online marketing.</w:t>
            </w:r>
          </w:p>
        </w:tc>
      </w:tr>
      <w:tr>
        <w:tc>
          <w:tcPr>
            <w:tcW w:type="dxa" w:w="12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3 — Established</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50 – 74</w:t>
            </w:r>
          </w:p>
        </w:tc>
        <w:tc>
          <w:tcPr>
            <w:tcW w:type="dxa" w:w="6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Core business functions are digitalised. Integration between systems is the next frontier; data-driven decision-making emerging.</w:t>
            </w:r>
          </w:p>
        </w:tc>
      </w:tr>
      <w:tr>
        <w:tc>
          <w:tcPr>
            <w:tcW w:type="dxa" w:w="12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4 — Advanced</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75 – 100</w:t>
            </w:r>
          </w:p>
        </w:tc>
        <w:tc>
          <w:tcPr>
            <w:tcW w:type="dxa" w:w="6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High digital maturity. Focus shifts to optimisation, AI/ML adoption, sustainability reporting, and market expansion.</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5.3 Dimension 1 — Operations Readiness</w:t>
      </w:r>
    </w:p>
    <w:p>
      <w:pPr>
        <w:pStyle w:val="Heading3"/>
        <w:spacing w:after="80" w:before="240"/>
      </w:pPr>
      <w:r>
        <w:rPr>
          <w:rFonts w:ascii="Calibri" w:cs="Calibri" w:eastAsia="Calibri" w:hAnsi="Calibri"/>
          <w:b/>
          <w:bCs/>
          <w:color w:val="1A6BAE"/>
          <w:sz w:val="22"/>
          <w:szCs w:val="22"/>
        </w:rPr>
        <w:t xml:space="preserve">Sample Questions (plain language)</w:t>
      </w:r>
    </w:p>
    <w:p>
      <w:pPr>
        <w:pStyle w:val="ListParagraph"/>
        <w:numPr>
          <w:ilvl w:val="0"/>
          <w:numId w:val="1"/>
        </w:numPr>
        <w:spacing w:after="80"/>
      </w:pPr>
      <w:r>
        <w:rPr>
          <w:rFonts w:ascii="Calibri" w:cs="Calibri" w:eastAsia="Calibri" w:hAnsi="Calibri"/>
          <w:color w:val="333333"/>
          <w:sz w:val="22"/>
          <w:szCs w:val="22"/>
        </w:rPr>
        <w:t xml:space="preserve">How do you currently manage your inventory and stock levels?</w:t>
      </w:r>
    </w:p>
    <w:p>
      <w:pPr>
        <w:pStyle w:val="ListParagraph"/>
        <w:numPr>
          <w:ilvl w:val="1"/>
          <w:numId w:val="1"/>
        </w:numPr>
        <w:spacing w:after="80"/>
      </w:pPr>
      <w:r>
        <w:rPr>
          <w:rFonts w:ascii="Calibri" w:cs="Calibri" w:eastAsia="Calibri" w:hAnsi="Calibri"/>
          <w:color w:val="333333"/>
          <w:sz w:val="22"/>
          <w:szCs w:val="22"/>
        </w:rPr>
        <w:t xml:space="preserve">  No system — I do it from memory or notes</w:t>
      </w:r>
    </w:p>
    <w:p>
      <w:pPr>
        <w:pStyle w:val="ListParagraph"/>
        <w:numPr>
          <w:ilvl w:val="1"/>
          <w:numId w:val="1"/>
        </w:numPr>
        <w:spacing w:after="80"/>
      </w:pPr>
      <w:r>
        <w:rPr>
          <w:rFonts w:ascii="Calibri" w:cs="Calibri" w:eastAsia="Calibri" w:hAnsi="Calibri"/>
          <w:color w:val="333333"/>
          <w:sz w:val="22"/>
          <w:szCs w:val="22"/>
        </w:rPr>
        <w:t xml:space="preserve">  Spreadsheets or paper-based tracking</w:t>
      </w:r>
    </w:p>
    <w:p>
      <w:pPr>
        <w:pStyle w:val="ListParagraph"/>
        <w:numPr>
          <w:ilvl w:val="1"/>
          <w:numId w:val="1"/>
        </w:numPr>
        <w:spacing w:after="80"/>
      </w:pPr>
      <w:r>
        <w:rPr>
          <w:rFonts w:ascii="Calibri" w:cs="Calibri" w:eastAsia="Calibri" w:hAnsi="Calibri"/>
          <w:color w:val="333333"/>
          <w:sz w:val="22"/>
          <w:szCs w:val="22"/>
        </w:rPr>
        <w:t xml:space="preserve">  Basic software (e.g., MYOB, Xero with inventory module)</w:t>
      </w:r>
    </w:p>
    <w:p>
      <w:pPr>
        <w:pStyle w:val="ListParagraph"/>
        <w:numPr>
          <w:ilvl w:val="1"/>
          <w:numId w:val="1"/>
        </w:numPr>
        <w:spacing w:after="80"/>
      </w:pPr>
      <w:r>
        <w:rPr>
          <w:rFonts w:ascii="Calibri" w:cs="Calibri" w:eastAsia="Calibri" w:hAnsi="Calibri"/>
          <w:color w:val="333333"/>
          <w:sz w:val="22"/>
          <w:szCs w:val="22"/>
        </w:rPr>
        <w:t xml:space="preserve">  Dedicated inventory management system with real-time tracking</w:t>
      </w:r>
    </w:p>
    <w:p>
      <w:pPr>
        <w:spacing w:after="80"/>
      </w:pPr>
    </w:p>
    <w:p>
      <w:pPr>
        <w:pStyle w:val="ListParagraph"/>
        <w:numPr>
          <w:ilvl w:val="0"/>
          <w:numId w:val="1"/>
        </w:numPr>
        <w:spacing w:after="80"/>
      </w:pPr>
      <w:r>
        <w:rPr>
          <w:rFonts w:ascii="Calibri" w:cs="Calibri" w:eastAsia="Calibri" w:hAnsi="Calibri"/>
          <w:color w:val="333333"/>
          <w:sz w:val="22"/>
          <w:szCs w:val="22"/>
        </w:rPr>
        <w:t xml:space="preserve">How do you process payments from customers?</w:t>
      </w:r>
    </w:p>
    <w:p>
      <w:pPr>
        <w:pStyle w:val="ListParagraph"/>
        <w:numPr>
          <w:ilvl w:val="1"/>
          <w:numId w:val="1"/>
        </w:numPr>
        <w:spacing w:after="80"/>
      </w:pPr>
      <w:r>
        <w:rPr>
          <w:rFonts w:ascii="Calibri" w:cs="Calibri" w:eastAsia="Calibri" w:hAnsi="Calibri"/>
          <w:color w:val="333333"/>
          <w:sz w:val="22"/>
          <w:szCs w:val="22"/>
        </w:rPr>
        <w:t xml:space="preserve">  Cash only or manual bank transfer</w:t>
      </w:r>
    </w:p>
    <w:p>
      <w:pPr>
        <w:pStyle w:val="ListParagraph"/>
        <w:numPr>
          <w:ilvl w:val="1"/>
          <w:numId w:val="1"/>
        </w:numPr>
        <w:spacing w:after="80"/>
      </w:pPr>
      <w:r>
        <w:rPr>
          <w:rFonts w:ascii="Calibri" w:cs="Calibri" w:eastAsia="Calibri" w:hAnsi="Calibri"/>
          <w:color w:val="333333"/>
          <w:sz w:val="22"/>
          <w:szCs w:val="22"/>
        </w:rPr>
        <w:t xml:space="preserve">  EFTPOS terminal (single, no reporting)</w:t>
      </w:r>
    </w:p>
    <w:p>
      <w:pPr>
        <w:pStyle w:val="ListParagraph"/>
        <w:numPr>
          <w:ilvl w:val="1"/>
          <w:numId w:val="1"/>
        </w:numPr>
        <w:spacing w:after="80"/>
      </w:pPr>
      <w:r>
        <w:rPr>
          <w:rFonts w:ascii="Calibri" w:cs="Calibri" w:eastAsia="Calibri" w:hAnsi="Calibri"/>
          <w:color w:val="333333"/>
          <w:sz w:val="22"/>
          <w:szCs w:val="22"/>
        </w:rPr>
        <w:t xml:space="preserve">  Multiple payment types with automatic reconciliation</w:t>
      </w:r>
    </w:p>
    <w:p>
      <w:pPr>
        <w:pStyle w:val="ListParagraph"/>
        <w:numPr>
          <w:ilvl w:val="1"/>
          <w:numId w:val="1"/>
        </w:numPr>
        <w:spacing w:after="80"/>
      </w:pPr>
      <w:r>
        <w:rPr>
          <w:rFonts w:ascii="Calibri" w:cs="Calibri" w:eastAsia="Calibri" w:hAnsi="Calibri"/>
          <w:color w:val="333333"/>
          <w:sz w:val="22"/>
          <w:szCs w:val="22"/>
        </w:rPr>
        <w:t xml:space="preserve">  Integrated POS/payment gateway with sales analytics</w:t>
      </w:r>
    </w:p>
    <w:p>
      <w:pPr>
        <w:spacing w:after="80"/>
      </w:pPr>
    </w:p>
    <w:p>
      <w:pPr>
        <w:pStyle w:val="ListParagraph"/>
        <w:numPr>
          <w:ilvl w:val="0"/>
          <w:numId w:val="1"/>
        </w:numPr>
        <w:spacing w:after="80"/>
      </w:pPr>
      <w:r>
        <w:rPr>
          <w:rFonts w:ascii="Calibri" w:cs="Calibri" w:eastAsia="Calibri" w:hAnsi="Calibri"/>
          <w:color w:val="333333"/>
          <w:sz w:val="22"/>
          <w:szCs w:val="22"/>
        </w:rPr>
        <w:t xml:space="preserve">How do you manage payroll, leave, and staff schedules?</w:t>
      </w:r>
    </w:p>
    <w:p>
      <w:pPr>
        <w:pStyle w:val="ListParagraph"/>
        <w:numPr>
          <w:ilvl w:val="1"/>
          <w:numId w:val="1"/>
        </w:numPr>
        <w:spacing w:after="80"/>
      </w:pPr>
      <w:r>
        <w:rPr>
          <w:rFonts w:ascii="Calibri" w:cs="Calibri" w:eastAsia="Calibri" w:hAnsi="Calibri"/>
          <w:color w:val="333333"/>
          <w:sz w:val="22"/>
          <w:szCs w:val="22"/>
        </w:rPr>
        <w:t xml:space="preserve">  Manually with spreadsheets or paper</w:t>
      </w:r>
    </w:p>
    <w:p>
      <w:pPr>
        <w:pStyle w:val="ListParagraph"/>
        <w:numPr>
          <w:ilvl w:val="1"/>
          <w:numId w:val="1"/>
        </w:numPr>
        <w:spacing w:after="80"/>
      </w:pPr>
      <w:r>
        <w:rPr>
          <w:rFonts w:ascii="Calibri" w:cs="Calibri" w:eastAsia="Calibri" w:hAnsi="Calibri"/>
          <w:color w:val="333333"/>
          <w:sz w:val="22"/>
          <w:szCs w:val="22"/>
        </w:rPr>
        <w:t xml:space="preserve">  Basic payroll software (e.g., standalone Xero Payroll)</w:t>
      </w:r>
    </w:p>
    <w:p>
      <w:pPr>
        <w:pStyle w:val="ListParagraph"/>
        <w:numPr>
          <w:ilvl w:val="1"/>
          <w:numId w:val="1"/>
        </w:numPr>
        <w:spacing w:after="80"/>
      </w:pPr>
      <w:r>
        <w:rPr>
          <w:rFonts w:ascii="Calibri" w:cs="Calibri" w:eastAsia="Calibri" w:hAnsi="Calibri"/>
          <w:color w:val="333333"/>
          <w:sz w:val="22"/>
          <w:szCs w:val="22"/>
        </w:rPr>
        <w:t xml:space="preserve">  Integrated HR/payroll platform with leave management</w:t>
      </w:r>
    </w:p>
    <w:p>
      <w:pPr>
        <w:pStyle w:val="ListParagraph"/>
        <w:numPr>
          <w:ilvl w:val="1"/>
          <w:numId w:val="1"/>
        </w:numPr>
        <w:spacing w:after="80"/>
      </w:pPr>
      <w:r>
        <w:rPr>
          <w:rFonts w:ascii="Calibri" w:cs="Calibri" w:eastAsia="Calibri" w:hAnsi="Calibri"/>
          <w:color w:val="333333"/>
          <w:sz w:val="22"/>
          <w:szCs w:val="22"/>
        </w:rPr>
        <w:t xml:space="preserve">  Full HRIS with rostering, compliance, and reporting</w:t>
      </w:r>
    </w:p>
    <w:p>
      <w:pPr>
        <w:spacing w:after="80"/>
      </w:pPr>
    </w:p>
    <w:p>
      <w:pPr>
        <w:pStyle w:val="ListParagraph"/>
        <w:numPr>
          <w:ilvl w:val="0"/>
          <w:numId w:val="1"/>
        </w:numPr>
        <w:spacing w:after="80"/>
      </w:pPr>
      <w:r>
        <w:rPr>
          <w:rFonts w:ascii="Calibri" w:cs="Calibri" w:eastAsia="Calibri" w:hAnsi="Calibri"/>
          <w:color w:val="333333"/>
          <w:sz w:val="22"/>
          <w:szCs w:val="22"/>
        </w:rPr>
        <w:t xml:space="preserve">How do you track and report your business finances?</w:t>
      </w:r>
    </w:p>
    <w:p>
      <w:pPr>
        <w:pStyle w:val="ListParagraph"/>
        <w:numPr>
          <w:ilvl w:val="1"/>
          <w:numId w:val="1"/>
        </w:numPr>
        <w:spacing w:after="80"/>
      </w:pPr>
      <w:r>
        <w:rPr>
          <w:rFonts w:ascii="Calibri" w:cs="Calibri" w:eastAsia="Calibri" w:hAnsi="Calibri"/>
          <w:color w:val="333333"/>
          <w:sz w:val="22"/>
          <w:szCs w:val="22"/>
        </w:rPr>
        <w:t xml:space="preserve">  Shoebox method — accountant does it at year end</w:t>
      </w:r>
    </w:p>
    <w:p>
      <w:pPr>
        <w:pStyle w:val="ListParagraph"/>
        <w:numPr>
          <w:ilvl w:val="1"/>
          <w:numId w:val="1"/>
        </w:numPr>
        <w:spacing w:after="80"/>
      </w:pPr>
      <w:r>
        <w:rPr>
          <w:rFonts w:ascii="Calibri" w:cs="Calibri" w:eastAsia="Calibri" w:hAnsi="Calibri"/>
          <w:color w:val="333333"/>
          <w:sz w:val="22"/>
          <w:szCs w:val="22"/>
        </w:rPr>
        <w:t xml:space="preserve">  Basic bookkeeping software, quarterly reports</w:t>
      </w:r>
    </w:p>
    <w:p>
      <w:pPr>
        <w:pStyle w:val="ListParagraph"/>
        <w:numPr>
          <w:ilvl w:val="1"/>
          <w:numId w:val="1"/>
        </w:numPr>
        <w:spacing w:after="80"/>
      </w:pPr>
      <w:r>
        <w:rPr>
          <w:rFonts w:ascii="Calibri" w:cs="Calibri" w:eastAsia="Calibri" w:hAnsi="Calibri"/>
          <w:color w:val="333333"/>
          <w:sz w:val="22"/>
          <w:szCs w:val="22"/>
        </w:rPr>
        <w:t xml:space="preserve">  Cloud accounting with monthly reporting</w:t>
      </w:r>
    </w:p>
    <w:p>
      <w:pPr>
        <w:pStyle w:val="ListParagraph"/>
        <w:numPr>
          <w:ilvl w:val="1"/>
          <w:numId w:val="1"/>
        </w:numPr>
        <w:spacing w:after="80"/>
      </w:pPr>
      <w:r>
        <w:rPr>
          <w:rFonts w:ascii="Calibri" w:cs="Calibri" w:eastAsia="Calibri" w:hAnsi="Calibri"/>
          <w:color w:val="333333"/>
          <w:sz w:val="22"/>
          <w:szCs w:val="22"/>
        </w:rPr>
        <w:t xml:space="preserve">  Real-time financial dashboard with forecasting</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5.4 Dimension 2 — Digital Readiness</w:t>
      </w:r>
    </w:p>
    <w:p>
      <w:pPr>
        <w:pStyle w:val="Heading3"/>
        <w:spacing w:after="80" w:before="240"/>
      </w:pPr>
      <w:r>
        <w:rPr>
          <w:rFonts w:ascii="Calibri" w:cs="Calibri" w:eastAsia="Calibri" w:hAnsi="Calibri"/>
          <w:b/>
          <w:bCs/>
          <w:color w:val="1A6BAE"/>
          <w:sz w:val="22"/>
          <w:szCs w:val="22"/>
        </w:rPr>
        <w:t xml:space="preserve">Sample Questions</w:t>
      </w:r>
    </w:p>
    <w:p>
      <w:pPr>
        <w:pStyle w:val="ListParagraph"/>
        <w:numPr>
          <w:ilvl w:val="0"/>
          <w:numId w:val="1"/>
        </w:numPr>
        <w:spacing w:after="80"/>
      </w:pPr>
      <w:r>
        <w:rPr>
          <w:rFonts w:ascii="Calibri" w:cs="Calibri" w:eastAsia="Calibri" w:hAnsi="Calibri"/>
          <w:color w:val="333333"/>
          <w:sz w:val="22"/>
          <w:szCs w:val="22"/>
        </w:rPr>
        <w:t xml:space="preserve">Where does your business store its critical data (customer records, orders, files)?</w:t>
      </w:r>
    </w:p>
    <w:p>
      <w:pPr>
        <w:pStyle w:val="ListParagraph"/>
        <w:numPr>
          <w:ilvl w:val="1"/>
          <w:numId w:val="1"/>
        </w:numPr>
        <w:spacing w:after="80"/>
      </w:pPr>
      <w:r>
        <w:rPr>
          <w:rFonts w:ascii="Calibri" w:cs="Calibri" w:eastAsia="Calibri" w:hAnsi="Calibri"/>
          <w:color w:val="333333"/>
          <w:sz w:val="22"/>
          <w:szCs w:val="22"/>
        </w:rPr>
        <w:t xml:space="preserve">  Physical files / local computer only</w:t>
      </w:r>
    </w:p>
    <w:p>
      <w:pPr>
        <w:pStyle w:val="ListParagraph"/>
        <w:numPr>
          <w:ilvl w:val="1"/>
          <w:numId w:val="1"/>
        </w:numPr>
        <w:spacing w:after="80"/>
      </w:pPr>
      <w:r>
        <w:rPr>
          <w:rFonts w:ascii="Calibri" w:cs="Calibri" w:eastAsia="Calibri" w:hAnsi="Calibri"/>
          <w:color w:val="333333"/>
          <w:sz w:val="22"/>
          <w:szCs w:val="22"/>
        </w:rPr>
        <w:t xml:space="preserve">  External hard drives or USB</w:t>
      </w:r>
    </w:p>
    <w:p>
      <w:pPr>
        <w:pStyle w:val="ListParagraph"/>
        <w:numPr>
          <w:ilvl w:val="1"/>
          <w:numId w:val="1"/>
        </w:numPr>
        <w:spacing w:after="80"/>
      </w:pPr>
      <w:r>
        <w:rPr>
          <w:rFonts w:ascii="Calibri" w:cs="Calibri" w:eastAsia="Calibri" w:hAnsi="Calibri"/>
          <w:color w:val="333333"/>
          <w:sz w:val="22"/>
          <w:szCs w:val="22"/>
        </w:rPr>
        <w:t xml:space="preserve">  Mix of local and cloud storage</w:t>
      </w:r>
    </w:p>
    <w:p>
      <w:pPr>
        <w:pStyle w:val="ListParagraph"/>
        <w:numPr>
          <w:ilvl w:val="1"/>
          <w:numId w:val="1"/>
        </w:numPr>
        <w:spacing w:after="80"/>
      </w:pPr>
      <w:r>
        <w:rPr>
          <w:rFonts w:ascii="Calibri" w:cs="Calibri" w:eastAsia="Calibri" w:hAnsi="Calibri"/>
          <w:color w:val="333333"/>
          <w:sz w:val="22"/>
          <w:szCs w:val="22"/>
        </w:rPr>
        <w:t xml:space="preserve">  Fully cloud-based with automated backups</w:t>
      </w:r>
    </w:p>
    <w:p>
      <w:pPr>
        <w:spacing w:after="80"/>
      </w:pPr>
    </w:p>
    <w:p>
      <w:pPr>
        <w:pStyle w:val="ListParagraph"/>
        <w:numPr>
          <w:ilvl w:val="0"/>
          <w:numId w:val="1"/>
        </w:numPr>
        <w:spacing w:after="80"/>
      </w:pPr>
      <w:r>
        <w:rPr>
          <w:rFonts w:ascii="Calibri" w:cs="Calibri" w:eastAsia="Calibri" w:hAnsi="Calibri"/>
          <w:color w:val="333333"/>
          <w:sz w:val="22"/>
          <w:szCs w:val="22"/>
        </w:rPr>
        <w:t xml:space="preserve">How would you describe your business's cybersecurity posture?</w:t>
      </w:r>
    </w:p>
    <w:p>
      <w:pPr>
        <w:pStyle w:val="ListParagraph"/>
        <w:numPr>
          <w:ilvl w:val="1"/>
          <w:numId w:val="1"/>
        </w:numPr>
        <w:spacing w:after="80"/>
      </w:pPr>
      <w:r>
        <w:rPr>
          <w:rFonts w:ascii="Calibri" w:cs="Calibri" w:eastAsia="Calibri" w:hAnsi="Calibri"/>
          <w:color w:val="333333"/>
          <w:sz w:val="22"/>
          <w:szCs w:val="22"/>
        </w:rPr>
        <w:t xml:space="preserve">  No formal measures in place</w:t>
      </w:r>
    </w:p>
    <w:p>
      <w:pPr>
        <w:pStyle w:val="ListParagraph"/>
        <w:numPr>
          <w:ilvl w:val="1"/>
          <w:numId w:val="1"/>
        </w:numPr>
        <w:spacing w:after="80"/>
      </w:pPr>
      <w:r>
        <w:rPr>
          <w:rFonts w:ascii="Calibri" w:cs="Calibri" w:eastAsia="Calibri" w:hAnsi="Calibri"/>
          <w:color w:val="333333"/>
          <w:sz w:val="22"/>
          <w:szCs w:val="22"/>
        </w:rPr>
        <w:t xml:space="preserve">  Basic antivirus software on some devices</w:t>
      </w:r>
    </w:p>
    <w:p>
      <w:pPr>
        <w:pStyle w:val="ListParagraph"/>
        <w:numPr>
          <w:ilvl w:val="1"/>
          <w:numId w:val="1"/>
        </w:numPr>
        <w:spacing w:after="80"/>
      </w:pPr>
      <w:r>
        <w:rPr>
          <w:rFonts w:ascii="Calibri" w:cs="Calibri" w:eastAsia="Calibri" w:hAnsi="Calibri"/>
          <w:color w:val="333333"/>
          <w:sz w:val="22"/>
          <w:szCs w:val="22"/>
        </w:rPr>
        <w:t xml:space="preserve">  Password policy + antivirus + some staff training</w:t>
      </w:r>
    </w:p>
    <w:p>
      <w:pPr>
        <w:pStyle w:val="ListParagraph"/>
        <w:numPr>
          <w:ilvl w:val="1"/>
          <w:numId w:val="1"/>
        </w:numPr>
        <w:spacing w:after="80"/>
      </w:pPr>
      <w:r>
        <w:rPr>
          <w:rFonts w:ascii="Calibri" w:cs="Calibri" w:eastAsia="Calibri" w:hAnsi="Calibri"/>
          <w:color w:val="333333"/>
          <w:sz w:val="22"/>
          <w:szCs w:val="22"/>
        </w:rPr>
        <w:t xml:space="preserve">  Managed security service or dedicated IT policy</w:t>
      </w:r>
    </w:p>
    <w:p>
      <w:pPr>
        <w:spacing w:after="80"/>
      </w:pPr>
    </w:p>
    <w:p>
      <w:pPr>
        <w:pStyle w:val="ListParagraph"/>
        <w:numPr>
          <w:ilvl w:val="0"/>
          <w:numId w:val="1"/>
        </w:numPr>
        <w:spacing w:after="80"/>
      </w:pPr>
      <w:r>
        <w:rPr>
          <w:rFonts w:ascii="Calibri" w:cs="Calibri" w:eastAsia="Calibri" w:hAnsi="Calibri"/>
          <w:color w:val="333333"/>
          <w:sz w:val="22"/>
          <w:szCs w:val="22"/>
        </w:rPr>
        <w:t xml:space="preserve">Do you use any automation tools in your business processes?</w:t>
      </w:r>
    </w:p>
    <w:p>
      <w:pPr>
        <w:pStyle w:val="ListParagraph"/>
        <w:numPr>
          <w:ilvl w:val="1"/>
          <w:numId w:val="1"/>
        </w:numPr>
        <w:spacing w:after="80"/>
      </w:pPr>
      <w:r>
        <w:rPr>
          <w:rFonts w:ascii="Calibri" w:cs="Calibri" w:eastAsia="Calibri" w:hAnsi="Calibri"/>
          <w:color w:val="333333"/>
          <w:sz w:val="22"/>
          <w:szCs w:val="22"/>
        </w:rPr>
        <w:t xml:space="preserve">  None — everything is done manually</w:t>
      </w:r>
    </w:p>
    <w:p>
      <w:pPr>
        <w:pStyle w:val="ListParagraph"/>
        <w:numPr>
          <w:ilvl w:val="1"/>
          <w:numId w:val="1"/>
        </w:numPr>
        <w:spacing w:after="80"/>
      </w:pPr>
      <w:r>
        <w:rPr>
          <w:rFonts w:ascii="Calibri" w:cs="Calibri" w:eastAsia="Calibri" w:hAnsi="Calibri"/>
          <w:color w:val="333333"/>
          <w:sz w:val="22"/>
          <w:szCs w:val="22"/>
        </w:rPr>
        <w:t xml:space="preserve">  Basic automation (e.g., email auto-replies)</w:t>
      </w:r>
    </w:p>
    <w:p>
      <w:pPr>
        <w:pStyle w:val="ListParagraph"/>
        <w:numPr>
          <w:ilvl w:val="1"/>
          <w:numId w:val="1"/>
        </w:numPr>
        <w:spacing w:after="80"/>
      </w:pPr>
      <w:r>
        <w:rPr>
          <w:rFonts w:ascii="Calibri" w:cs="Calibri" w:eastAsia="Calibri" w:hAnsi="Calibri"/>
          <w:color w:val="333333"/>
          <w:sz w:val="22"/>
          <w:szCs w:val="22"/>
        </w:rPr>
        <w:t xml:space="preserve">  Workflow automation in one or more business areas</w:t>
      </w:r>
    </w:p>
    <w:p>
      <w:pPr>
        <w:pStyle w:val="ListParagraph"/>
        <w:numPr>
          <w:ilvl w:val="1"/>
          <w:numId w:val="1"/>
        </w:numPr>
        <w:spacing w:after="80"/>
      </w:pPr>
      <w:r>
        <w:rPr>
          <w:rFonts w:ascii="Calibri" w:cs="Calibri" w:eastAsia="Calibri" w:hAnsi="Calibri"/>
          <w:color w:val="333333"/>
          <w:sz w:val="22"/>
          <w:szCs w:val="22"/>
        </w:rPr>
        <w:t xml:space="preserve">  AI-assisted or RPA-driven automation across functions</w:t>
      </w:r>
    </w:p>
    <w:p>
      <w:pPr>
        <w:spacing w:after="80"/>
      </w:pPr>
    </w:p>
    <w:p>
      <w:pPr>
        <w:pStyle w:val="ListParagraph"/>
        <w:numPr>
          <w:ilvl w:val="0"/>
          <w:numId w:val="1"/>
        </w:numPr>
        <w:spacing w:after="80"/>
      </w:pPr>
      <w:r>
        <w:rPr>
          <w:rFonts w:ascii="Calibri" w:cs="Calibri" w:eastAsia="Calibri" w:hAnsi="Calibri"/>
          <w:color w:val="333333"/>
          <w:sz w:val="22"/>
          <w:szCs w:val="22"/>
        </w:rPr>
        <w:t xml:space="preserve">How do you currently use data to make business decisions?</w:t>
      </w:r>
    </w:p>
    <w:p>
      <w:pPr>
        <w:pStyle w:val="ListParagraph"/>
        <w:numPr>
          <w:ilvl w:val="1"/>
          <w:numId w:val="1"/>
        </w:numPr>
        <w:spacing w:after="80"/>
      </w:pPr>
      <w:r>
        <w:rPr>
          <w:rFonts w:ascii="Calibri" w:cs="Calibri" w:eastAsia="Calibri" w:hAnsi="Calibri"/>
          <w:color w:val="333333"/>
          <w:sz w:val="22"/>
          <w:szCs w:val="22"/>
        </w:rPr>
        <w:t xml:space="preserve">  I rely on experience and intuition</w:t>
      </w:r>
    </w:p>
    <w:p>
      <w:pPr>
        <w:pStyle w:val="ListParagraph"/>
        <w:numPr>
          <w:ilvl w:val="1"/>
          <w:numId w:val="1"/>
        </w:numPr>
        <w:spacing w:after="80"/>
      </w:pPr>
      <w:r>
        <w:rPr>
          <w:rFonts w:ascii="Calibri" w:cs="Calibri" w:eastAsia="Calibri" w:hAnsi="Calibri"/>
          <w:color w:val="333333"/>
          <w:sz w:val="22"/>
          <w:szCs w:val="22"/>
        </w:rPr>
        <w:t xml:space="preserve">  I look at basic sales reports occasionally</w:t>
      </w:r>
    </w:p>
    <w:p>
      <w:pPr>
        <w:pStyle w:val="ListParagraph"/>
        <w:numPr>
          <w:ilvl w:val="1"/>
          <w:numId w:val="1"/>
        </w:numPr>
        <w:spacing w:after="80"/>
      </w:pPr>
      <w:r>
        <w:rPr>
          <w:rFonts w:ascii="Calibri" w:cs="Calibri" w:eastAsia="Calibri" w:hAnsi="Calibri"/>
          <w:color w:val="333333"/>
          <w:sz w:val="22"/>
          <w:szCs w:val="22"/>
        </w:rPr>
        <w:t xml:space="preserve">  Regular reporting with KPIs tracked</w:t>
      </w:r>
    </w:p>
    <w:p>
      <w:pPr>
        <w:pStyle w:val="ListParagraph"/>
        <w:numPr>
          <w:ilvl w:val="1"/>
          <w:numId w:val="1"/>
        </w:numPr>
        <w:spacing w:after="80"/>
      </w:pPr>
      <w:r>
        <w:rPr>
          <w:rFonts w:ascii="Calibri" w:cs="Calibri" w:eastAsia="Calibri" w:hAnsi="Calibri"/>
          <w:color w:val="333333"/>
          <w:sz w:val="22"/>
          <w:szCs w:val="22"/>
        </w:rPr>
        <w:t xml:space="preserve">  Data dashboard with real-time analytics informing decisions</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5.5 Dimension 3 — Market Readiness</w:t>
      </w:r>
    </w:p>
    <w:p>
      <w:pPr>
        <w:pStyle w:val="Heading3"/>
        <w:spacing w:after="80" w:before="240"/>
      </w:pPr>
      <w:r>
        <w:rPr>
          <w:rFonts w:ascii="Calibri" w:cs="Calibri" w:eastAsia="Calibri" w:hAnsi="Calibri"/>
          <w:b/>
          <w:bCs/>
          <w:color w:val="1A6BAE"/>
          <w:sz w:val="22"/>
          <w:szCs w:val="22"/>
        </w:rPr>
        <w:t xml:space="preserve">Sample Questions</w:t>
      </w:r>
    </w:p>
    <w:p>
      <w:pPr>
        <w:pStyle w:val="ListParagraph"/>
        <w:numPr>
          <w:ilvl w:val="0"/>
          <w:numId w:val="1"/>
        </w:numPr>
        <w:spacing w:after="80"/>
      </w:pPr>
      <w:r>
        <w:rPr>
          <w:rFonts w:ascii="Calibri" w:cs="Calibri" w:eastAsia="Calibri" w:hAnsi="Calibri"/>
          <w:color w:val="333333"/>
          <w:sz w:val="22"/>
          <w:szCs w:val="22"/>
        </w:rPr>
        <w:t xml:space="preserve">How do customers find your business online?</w:t>
      </w:r>
    </w:p>
    <w:p>
      <w:pPr>
        <w:pStyle w:val="ListParagraph"/>
        <w:numPr>
          <w:ilvl w:val="1"/>
          <w:numId w:val="1"/>
        </w:numPr>
        <w:spacing w:after="80"/>
      </w:pPr>
      <w:r>
        <w:rPr>
          <w:rFonts w:ascii="Calibri" w:cs="Calibri" w:eastAsia="Calibri" w:hAnsi="Calibri"/>
          <w:color w:val="333333"/>
          <w:sz w:val="22"/>
          <w:szCs w:val="22"/>
        </w:rPr>
        <w:t xml:space="preserve">  We have no online presence</w:t>
      </w:r>
    </w:p>
    <w:p>
      <w:pPr>
        <w:pStyle w:val="ListParagraph"/>
        <w:numPr>
          <w:ilvl w:val="1"/>
          <w:numId w:val="1"/>
        </w:numPr>
        <w:spacing w:after="80"/>
      </w:pPr>
      <w:r>
        <w:rPr>
          <w:rFonts w:ascii="Calibri" w:cs="Calibri" w:eastAsia="Calibri" w:hAnsi="Calibri"/>
          <w:color w:val="333333"/>
          <w:sz w:val="22"/>
          <w:szCs w:val="22"/>
        </w:rPr>
        <w:t xml:space="preserve">  Basic website or Google Business listing only</w:t>
      </w:r>
    </w:p>
    <w:p>
      <w:pPr>
        <w:pStyle w:val="ListParagraph"/>
        <w:numPr>
          <w:ilvl w:val="1"/>
          <w:numId w:val="1"/>
        </w:numPr>
        <w:spacing w:after="80"/>
      </w:pPr>
      <w:r>
        <w:rPr>
          <w:rFonts w:ascii="Calibri" w:cs="Calibri" w:eastAsia="Calibri" w:hAnsi="Calibri"/>
          <w:color w:val="333333"/>
          <w:sz w:val="22"/>
          <w:szCs w:val="22"/>
        </w:rPr>
        <w:t xml:space="preserve">  Active social media + SEO-optimised website</w:t>
      </w:r>
    </w:p>
    <w:p>
      <w:pPr>
        <w:pStyle w:val="ListParagraph"/>
        <w:numPr>
          <w:ilvl w:val="1"/>
          <w:numId w:val="1"/>
        </w:numPr>
        <w:spacing w:after="80"/>
      </w:pPr>
      <w:r>
        <w:rPr>
          <w:rFonts w:ascii="Calibri" w:cs="Calibri" w:eastAsia="Calibri" w:hAnsi="Calibri"/>
          <w:color w:val="333333"/>
          <w:sz w:val="22"/>
          <w:szCs w:val="22"/>
        </w:rPr>
        <w:t xml:space="preserve">  Multi-channel digital marketing with performance tracking</w:t>
      </w:r>
    </w:p>
    <w:p>
      <w:pPr>
        <w:spacing w:after="80"/>
      </w:pPr>
    </w:p>
    <w:p>
      <w:pPr>
        <w:pStyle w:val="ListParagraph"/>
        <w:numPr>
          <w:ilvl w:val="0"/>
          <w:numId w:val="1"/>
        </w:numPr>
        <w:spacing w:after="80"/>
      </w:pPr>
      <w:r>
        <w:rPr>
          <w:rFonts w:ascii="Calibri" w:cs="Calibri" w:eastAsia="Calibri" w:hAnsi="Calibri"/>
          <w:color w:val="333333"/>
          <w:sz w:val="22"/>
          <w:szCs w:val="22"/>
        </w:rPr>
        <w:t xml:space="preserve">Does your business sell products or services online?</w:t>
      </w:r>
    </w:p>
    <w:p>
      <w:pPr>
        <w:pStyle w:val="ListParagraph"/>
        <w:numPr>
          <w:ilvl w:val="1"/>
          <w:numId w:val="1"/>
        </w:numPr>
        <w:spacing w:after="80"/>
      </w:pPr>
      <w:r>
        <w:rPr>
          <w:rFonts w:ascii="Calibri" w:cs="Calibri" w:eastAsia="Calibri" w:hAnsi="Calibri"/>
          <w:color w:val="333333"/>
          <w:sz w:val="22"/>
          <w:szCs w:val="22"/>
        </w:rPr>
        <w:t xml:space="preserve">  No — all sales are in person or by phone</w:t>
      </w:r>
    </w:p>
    <w:p>
      <w:pPr>
        <w:pStyle w:val="ListParagraph"/>
        <w:numPr>
          <w:ilvl w:val="1"/>
          <w:numId w:val="1"/>
        </w:numPr>
        <w:spacing w:after="80"/>
      </w:pPr>
      <w:r>
        <w:rPr>
          <w:rFonts w:ascii="Calibri" w:cs="Calibri" w:eastAsia="Calibri" w:hAnsi="Calibri"/>
          <w:color w:val="333333"/>
          <w:sz w:val="22"/>
          <w:szCs w:val="22"/>
        </w:rPr>
        <w:t xml:space="preserve">  We accept enquiries online but close sales offline</w:t>
      </w:r>
    </w:p>
    <w:p>
      <w:pPr>
        <w:pStyle w:val="ListParagraph"/>
        <w:numPr>
          <w:ilvl w:val="1"/>
          <w:numId w:val="1"/>
        </w:numPr>
        <w:spacing w:after="80"/>
      </w:pPr>
      <w:r>
        <w:rPr>
          <w:rFonts w:ascii="Calibri" w:cs="Calibri" w:eastAsia="Calibri" w:hAnsi="Calibri"/>
          <w:color w:val="333333"/>
          <w:sz w:val="22"/>
          <w:szCs w:val="22"/>
        </w:rPr>
        <w:t xml:space="preserve">  We have an online store but it's not a major sales channel</w:t>
      </w:r>
    </w:p>
    <w:p>
      <w:pPr>
        <w:pStyle w:val="ListParagraph"/>
        <w:numPr>
          <w:ilvl w:val="1"/>
          <w:numId w:val="1"/>
        </w:numPr>
        <w:spacing w:after="80"/>
      </w:pPr>
      <w:r>
        <w:rPr>
          <w:rFonts w:ascii="Calibri" w:cs="Calibri" w:eastAsia="Calibri" w:hAnsi="Calibri"/>
          <w:color w:val="333333"/>
          <w:sz w:val="22"/>
          <w:szCs w:val="22"/>
        </w:rPr>
        <w:t xml:space="preserve">  E-commerce is a primary or growing revenue channel</w:t>
      </w:r>
    </w:p>
    <w:p>
      <w:pPr>
        <w:spacing w:after="80"/>
      </w:pPr>
    </w:p>
    <w:p>
      <w:pPr>
        <w:pStyle w:val="ListParagraph"/>
        <w:numPr>
          <w:ilvl w:val="0"/>
          <w:numId w:val="1"/>
        </w:numPr>
        <w:spacing w:after="80"/>
      </w:pPr>
      <w:r>
        <w:rPr>
          <w:rFonts w:ascii="Calibri" w:cs="Calibri" w:eastAsia="Calibri" w:hAnsi="Calibri"/>
          <w:color w:val="333333"/>
          <w:sz w:val="22"/>
          <w:szCs w:val="22"/>
        </w:rPr>
        <w:t xml:space="preserve">What is the geographic reach of your current customer base?</w:t>
      </w:r>
    </w:p>
    <w:p>
      <w:pPr>
        <w:pStyle w:val="ListParagraph"/>
        <w:numPr>
          <w:ilvl w:val="1"/>
          <w:numId w:val="1"/>
        </w:numPr>
        <w:spacing w:after="80"/>
      </w:pPr>
      <w:r>
        <w:rPr>
          <w:rFonts w:ascii="Calibri" w:cs="Calibri" w:eastAsia="Calibri" w:hAnsi="Calibri"/>
          <w:color w:val="333333"/>
          <w:sz w:val="22"/>
          <w:szCs w:val="22"/>
        </w:rPr>
        <w:t xml:space="preserve">  Local only (single suburb or town)</w:t>
      </w:r>
    </w:p>
    <w:p>
      <w:pPr>
        <w:pStyle w:val="ListParagraph"/>
        <w:numPr>
          <w:ilvl w:val="1"/>
          <w:numId w:val="1"/>
        </w:numPr>
        <w:spacing w:after="80"/>
      </w:pPr>
      <w:r>
        <w:rPr>
          <w:rFonts w:ascii="Calibri" w:cs="Calibri" w:eastAsia="Calibri" w:hAnsi="Calibri"/>
          <w:color w:val="333333"/>
          <w:sz w:val="22"/>
          <w:szCs w:val="22"/>
        </w:rPr>
        <w:t xml:space="preserve">  State-wide (across WA)</w:t>
      </w:r>
    </w:p>
    <w:p>
      <w:pPr>
        <w:pStyle w:val="ListParagraph"/>
        <w:numPr>
          <w:ilvl w:val="1"/>
          <w:numId w:val="1"/>
        </w:numPr>
        <w:spacing w:after="80"/>
      </w:pPr>
      <w:r>
        <w:rPr>
          <w:rFonts w:ascii="Calibri" w:cs="Calibri" w:eastAsia="Calibri" w:hAnsi="Calibri"/>
          <w:color w:val="333333"/>
          <w:sz w:val="22"/>
          <w:szCs w:val="22"/>
        </w:rPr>
        <w:t xml:space="preserve">  Australia-wide</w:t>
      </w:r>
    </w:p>
    <w:p>
      <w:pPr>
        <w:pStyle w:val="ListParagraph"/>
        <w:numPr>
          <w:ilvl w:val="1"/>
          <w:numId w:val="1"/>
        </w:numPr>
        <w:spacing w:after="80"/>
      </w:pPr>
      <w:r>
        <w:rPr>
          <w:rFonts w:ascii="Calibri" w:cs="Calibri" w:eastAsia="Calibri" w:hAnsi="Calibri"/>
          <w:color w:val="333333"/>
          <w:sz w:val="22"/>
          <w:szCs w:val="22"/>
        </w:rPr>
        <w:t xml:space="preserve">  International or actively exploring export</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6. Program Mapping Logic</w:t>
      </w:r>
    </w:p>
    <w:p>
      <w:pPr>
        <w:spacing w:after="120"/>
      </w:pPr>
    </w:p>
    <w:p>
      <w:pPr>
        <w:spacing w:after="120" w:line="276" w:lineRule="auto"/>
        <w:jc w:val="both"/>
      </w:pPr>
      <w:r>
        <w:rPr>
          <w:rFonts w:ascii="Calibri" w:cs="Calibri" w:eastAsia="Calibri" w:hAnsi="Calibri"/>
          <w:color w:val="333333"/>
          <w:sz w:val="22"/>
          <w:szCs w:val="22"/>
        </w:rPr>
        <w:t xml:space="preserve">The mapping engine evaluates each SME's three dimension scores against a set of eligibility rules per program. Programs are ranked by a "fit score" — a weighted combination of dimension alignment and profile-level filters (sector, business size, location).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thick" w:color="003D7B" w:sz="12"/>
              <w:left w:val="thick" w:color="003D7B" w:sz="12"/>
              <w:bottom w:val="nil"/>
              <w:right w:val="nil"/>
            </w:tcBorders>
            <w:shd w:fill="FDF4E4" w:val="clear"/>
            <w:tcMar>
              <w:top w:type="dxa" w:w="120"/>
              <w:left w:type="dxa" w:w="200"/>
              <w:bottom w:type="dxa" w:w="120"/>
              <w:right w:type="dxa" w:w="200"/>
            </w:tcMar>
          </w:tcPr>
          <w:p>
            <w:pPr>
              <w:spacing w:after="60"/>
            </w:pPr>
            <w:r>
              <w:rPr>
                <w:rFonts w:ascii="Calibri" w:cs="Calibri" w:eastAsia="Calibri" w:hAnsi="Calibri"/>
                <w:b/>
                <w:bCs/>
                <w:color w:val="003D7B"/>
                <w:sz w:val="22"/>
                <w:szCs w:val="22"/>
              </w:rPr>
              <w:t xml:space="preserve">Note — Program List Pending</w:t>
            </w:r>
          </w:p>
          <w:p>
            <w:pPr>
              <w:spacing w:after="0"/>
            </w:pPr>
            <w:r>
              <w:rPr>
                <w:rFonts w:ascii="Calibri" w:cs="Calibri" w:eastAsia="Calibri" w:hAnsi="Calibri"/>
                <w:color w:val="333333"/>
                <w:sz w:val="20"/>
                <w:szCs w:val="20"/>
              </w:rPr>
              <w:t xml:space="preserve">The DPIRD program catalogue will be confirmed and completed by the client. The programs listed below represent the currently known set and are placeholder examples of how mapping rules are structured. Additional programs will be incorporated using the same schema.</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6.1 Known Programs (Initial 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900"/>
        <w:gridCol w:w="1800"/>
        <w:gridCol w:w="1860"/>
      </w:tblGrid>
      <w:tr>
        <w:tc>
          <w:tcPr>
            <w:tcW w:type="dxa" w:w="20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Program</w:t>
            </w:r>
          </w:p>
        </w:tc>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Primary Dimension</w:t>
            </w:r>
          </w:p>
        </w:tc>
        <w:tc>
          <w:tcPr>
            <w:tcW w:type="dxa" w:w="19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 Range</w:t>
            </w:r>
          </w:p>
        </w:tc>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Sector Scope</w:t>
            </w:r>
          </w:p>
        </w:tc>
        <w:tc>
          <w:tcPr>
            <w:tcW w:type="dxa" w:w="18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Digital Shoestring</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Digital Readiness</w:t>
            </w:r>
          </w:p>
        </w:tc>
        <w:tc>
          <w:tcPr>
            <w:tcW w:type="dxa" w:w="19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DML 1–2 (0–49)</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All sectors</w:t>
            </w:r>
          </w:p>
        </w:tc>
        <w:tc>
          <w:tcPr>
            <w:tcW w:type="dxa" w:w="18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Voucher / Advisory</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ESG Vouchers</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Operations + Market</w:t>
            </w:r>
          </w:p>
        </w:tc>
        <w:tc>
          <w:tcPr>
            <w:tcW w:type="dxa" w:w="19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DML 2–4 (25–100)</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All sectors</w:t>
            </w:r>
          </w:p>
        </w:tc>
        <w:tc>
          <w:tcPr>
            <w:tcW w:type="dxa" w:w="18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Voucher</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WaterSmart Farms</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Operations</w:t>
            </w:r>
          </w:p>
        </w:tc>
        <w:tc>
          <w:tcPr>
            <w:tcW w:type="dxa" w:w="19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DML 1–3 (0–74)</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Agriculture</w:t>
            </w:r>
          </w:p>
        </w:tc>
        <w:tc>
          <w:tcPr>
            <w:tcW w:type="dxa" w:w="18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Voucher Program</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Supply Chain Capacity</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Operations + Market</w:t>
            </w:r>
          </w:p>
        </w:tc>
        <w:tc>
          <w:tcPr>
            <w:tcW w:type="dxa" w:w="19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DML 2–4 (25–100)</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Food &amp; Beverage</w:t>
            </w:r>
          </w:p>
        </w:tc>
        <w:tc>
          <w:tcPr>
            <w:tcW w:type="dxa" w:w="18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Grant</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Community Stewardship</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Operations</w:t>
            </w:r>
          </w:p>
        </w:tc>
        <w:tc>
          <w:tcPr>
            <w:tcW w:type="dxa" w:w="19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All DML</w:t>
            </w:r>
          </w:p>
        </w:tc>
        <w:tc>
          <w:tcPr>
            <w:tcW w:type="dxa" w:w="18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Community orgs</w:t>
            </w:r>
          </w:p>
        </w:tc>
        <w:tc>
          <w:tcPr>
            <w:tcW w:type="dxa" w:w="18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Grant</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Noongar Economic Foundations</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Operations + Market</w:t>
            </w:r>
          </w:p>
        </w:tc>
        <w:tc>
          <w:tcPr>
            <w:tcW w:type="dxa" w:w="19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DML 1–3</w:t>
            </w:r>
          </w:p>
        </w:tc>
        <w:tc>
          <w:tcPr>
            <w:tcW w:type="dxa" w:w="18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Noongar Corporations</w:t>
            </w:r>
          </w:p>
        </w:tc>
        <w:tc>
          <w:tcPr>
            <w:tcW w:type="dxa" w:w="18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Grant</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6.2 Mapping Rule Structure (Per Program)</w:t>
      </w:r>
    </w:p>
    <w:p>
      <w:pPr>
        <w:spacing w:after="120" w:line="276" w:lineRule="auto"/>
        <w:jc w:val="both"/>
      </w:pPr>
      <w:r>
        <w:rPr>
          <w:rFonts w:ascii="Calibri" w:cs="Calibri" w:eastAsia="Calibri" w:hAnsi="Calibri"/>
          <w:color w:val="333333"/>
          <w:sz w:val="22"/>
          <w:szCs w:val="22"/>
        </w:rPr>
        <w:t xml:space="preserve">Each program is defined by a JSON rule object. This schema allows new programs to be added without code changes — only the data layer is updated:</w:t>
      </w:r>
    </w:p>
    <w:p>
      <w:pPr>
        <w:spacing w:after="80"/>
      </w:pPr>
    </w:p>
    <w:p>
      <w:pPr>
        <w:shd w:fill="EAF2FB" w:val="clear"/>
        <w:spacing w:after="200" w:before="80"/>
        <w:ind w:left="200" w:right="200"/>
      </w:pPr>
      <w:r>
        <w:rPr>
          <w:rFonts w:ascii="Courier New" w:cs="Courier New" w:eastAsia="Courier New" w:hAnsi="Courier New"/>
          <w:color w:val="003D7B"/>
          <w:sz w:val="16"/>
          <w:szCs w:val="16"/>
        </w:rPr>
        <w:t xml:space="preserve">{
  "id": "digital-shoestring",
  "name": "Digital Shoestring",
  "type": "voucher",
  "description": "Low-cost digital tools...",
  "rules": {
    "dml_min": 0,
    "dml_max": 49,
    "dimension_weights": {
      "digital": 0.60,
      "operations": 0.30,
      "market": 0.10
    },
    "sector_filter": "all",
    "size_filter": ["micro", "small"],
    "location_filter": "all"
  },
  "tags": ["digital", "beginner", "tools", "voucher"]
}</w:t>
      </w:r>
    </w:p>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6.3 Mapping Matrix — DML vs. Dimension</w:t>
      </w:r>
    </w:p>
    <w:p>
      <w:pPr>
        <w:spacing w:after="120" w:line="276" w:lineRule="auto"/>
        <w:jc w:val="both"/>
      </w:pPr>
      <w:r>
        <w:rPr>
          <w:rFonts w:ascii="Calibri" w:cs="Calibri" w:eastAsia="Calibri" w:hAnsi="Calibri"/>
          <w:color w:val="333333"/>
          <w:sz w:val="22"/>
          <w:szCs w:val="22"/>
        </w:rPr>
        <w:t xml:space="preserve">The table below illustrates which programs are triggered by each DML level and primary dimension gap. Green cells indicate primary match; blue cells indicate secondary match.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820"/>
        <w:gridCol w:w="1820"/>
        <w:gridCol w:w="1820"/>
        <w:gridCol w:w="1800"/>
      </w:tblGrid>
      <w:tr>
        <w:tc>
          <w:tcPr>
            <w:tcW w:type="dxa" w:w="21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Program</w:t>
            </w:r>
          </w:p>
        </w:tc>
        <w:tc>
          <w:tcPr>
            <w:tcW w:type="dxa" w:w="18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 1 (0–24)</w:t>
            </w:r>
          </w:p>
        </w:tc>
        <w:tc>
          <w:tcPr>
            <w:tcW w:type="dxa" w:w="18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 2 (25–49)</w:t>
            </w:r>
          </w:p>
        </w:tc>
        <w:tc>
          <w:tcPr>
            <w:tcW w:type="dxa" w:w="18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 3 (50–74)</w:t>
            </w:r>
          </w:p>
        </w:tc>
        <w:tc>
          <w:tcPr>
            <w:tcW w:type="dxa" w:w="1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DML 4 (75–100)</w:t>
            </w:r>
          </w:p>
        </w:tc>
      </w:tr>
      <w:tr>
        <w:tc>
          <w:tcPr>
            <w:tcW w:type="dxa" w:w="21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Digital Shoestring</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w:t>
            </w:r>
          </w:p>
        </w:tc>
        <w:tc>
          <w:tcPr>
            <w:tcW w:type="dxa" w:w="182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w:t>
            </w:r>
          </w:p>
        </w:tc>
      </w:tr>
      <w:tr>
        <w:tc>
          <w:tcPr>
            <w:tcW w:type="dxa" w:w="21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ESG Vouchers</w:t>
            </w:r>
          </w:p>
        </w:tc>
        <w:tc>
          <w:tcPr>
            <w:tcW w:type="dxa" w:w="182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w:t>
            </w:r>
          </w:p>
        </w:tc>
        <w:tc>
          <w:tcPr>
            <w:tcW w:type="dxa" w:w="1820"/>
            <w:shd w:fill="B3D9F5"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SECONDARY</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r>
      <w:tr>
        <w:tc>
          <w:tcPr>
            <w:tcW w:type="dxa" w:w="21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WaterSmart Farms *</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B3D9F5"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SECONDARY</w:t>
            </w:r>
          </w:p>
        </w:tc>
        <w:tc>
          <w:tcPr>
            <w:tcW w:type="dxa" w:w="182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w:t>
            </w:r>
          </w:p>
        </w:tc>
      </w:tr>
      <w:tr>
        <w:tc>
          <w:tcPr>
            <w:tcW w:type="dxa" w:w="21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Supply Chain Capacity *</w:t>
            </w:r>
          </w:p>
        </w:tc>
        <w:tc>
          <w:tcPr>
            <w:tcW w:type="dxa" w:w="1820"/>
            <w:shd w:fill="FFFFFF"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90EE90"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PRIMARY</w:t>
            </w:r>
          </w:p>
        </w:tc>
        <w:tc>
          <w:tcPr>
            <w:tcW w:type="dxa" w:w="1820"/>
            <w:shd w:fill="B3D9F5"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 SECONDARY</w:t>
            </w:r>
          </w:p>
        </w:tc>
      </w:tr>
    </w:tbl>
    <w:p>
      <w:pPr>
        <w:spacing w:after="80"/>
      </w:pPr>
      <w:r>
        <w:rPr>
          <w:rFonts w:ascii="Calibri" w:cs="Calibri" w:eastAsia="Calibri" w:hAnsi="Calibri"/>
          <w:color w:val="AAAAAA"/>
          <w:sz w:val="16"/>
          <w:szCs w:val="16"/>
        </w:rPr>
        <w:t xml:space="preserve">* Sector-restricted programs (Agriculture / Food &amp; Beverage). Only shown when sector filter matches.</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7. Platform Feature Specification</w:t>
      </w:r>
    </w:p>
    <w:p>
      <w:pPr>
        <w:spacing w:after="120"/>
      </w:pPr>
    </w:p>
    <w:p>
      <w:pPr>
        <w:pStyle w:val="Heading2"/>
        <w:pBdr>
          <w:bottom w:val="single" w:color="C8962B" w:sz="12"/>
        </w:pBdr>
        <w:spacing w:after="120" w:before="320"/>
      </w:pPr>
      <w:r>
        <w:rPr>
          <w:rFonts w:ascii="Calibri" w:cs="Calibri" w:eastAsia="Calibri" w:hAnsi="Calibri"/>
          <w:b/>
          <w:bCs/>
          <w:color w:val="003D7B"/>
          <w:sz w:val="24"/>
          <w:szCs w:val="24"/>
        </w:rPr>
        <w:t xml:space="preserve">7.1 Public SME Portal (Self-Service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69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Home / Discovery</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Hero section, 3 pathway cards (Advisory / Resources / Grants), featured sector plans, news &amp; events strip</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Diagnostic Wizard</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6-step guided assessment: Sector → Business Profile → Operations → Digital → Market → Results. Progress auto-saved in session.</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Results Dashboard</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Visual maturity radar chart (3 dimensions), DML level badge, top recommended programs (ranked), matching grants, recommended resources</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Program Profiles</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Individual page per program: description, eligibility checklist, funding amount, application deadline, how to apply, "Book a Consultant" CTA</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Grants Explorer</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Searchable &amp; filterable list of all DPIRD grants: status badge (Open/Closed/Coming Soon), sector filter, search by keyword</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Resource Library</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Guides, templates, and sector digital plans, filterable by category and sector. Linked to diagnostic results.</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Save &amp; Share Results</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Email results as branded PDF. Optionally share a link. No login required.</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Book a Consultant</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CTA present throughout. Leads to booking form or Calendly integration for DPIRD advisor session.</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7.2 Consultant Mode (Authenticated)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69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Consultant Dashboard</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List of SME assessment sessions assigned to the consultant. Filter by status, sector, DML level.</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SME Assessment (on behalf)</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Run the full diagnostic wizard on behalf of an SME. Includes override toggles for each score, with mandatory note field.</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Extended Results View</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Full scoring breakdown per question, weighted dimension scores, all matched/near-matched programs with eligibility gap analysis.</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Report Generator</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One-click PDF report with DPIRD branding: SME profile, maturity radar, program recommendations, action roadmap.</w:t>
            </w:r>
          </w:p>
        </w:tc>
      </w:tr>
      <w:tr>
        <w:tc>
          <w:tcPr>
            <w:tcW w:type="dxa" w:w="24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Case Notes</w:t>
            </w:r>
          </w:p>
        </w:tc>
        <w:tc>
          <w:tcPr>
            <w:tcW w:type="dxa" w:w="69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Freetext notes per SME session. Timestamps. Accessible by the assigned consultant only.</w:t>
            </w:r>
          </w:p>
        </w:tc>
      </w:tr>
      <w:tr>
        <w:tc>
          <w:tcPr>
            <w:tcW w:type="dxa" w:w="24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Program Admin</w:t>
            </w:r>
          </w:p>
        </w:tc>
        <w:tc>
          <w:tcPr>
            <w:tcW w:type="dxa" w:w="69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View program catalogue. Flag outdated grants. (Full CMS is a Phase 3 feature.)</w:t>
            </w:r>
          </w:p>
        </w:tc>
      </w:tr>
    </w:tbl>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8. System Architecture</w:t>
      </w:r>
    </w:p>
    <w:p>
      <w:pPr>
        <w:spacing w:after="120"/>
      </w:pPr>
    </w:p>
    <w:p>
      <w:pPr>
        <w:pStyle w:val="Heading2"/>
        <w:pBdr>
          <w:bottom w:val="single" w:color="C8962B" w:sz="12"/>
        </w:pBdr>
        <w:spacing w:after="120" w:before="320"/>
      </w:pPr>
      <w:r>
        <w:rPr>
          <w:rFonts w:ascii="Calibri" w:cs="Calibri" w:eastAsia="Calibri" w:hAnsi="Calibri"/>
          <w:b/>
          <w:bCs/>
          <w:color w:val="003D7B"/>
          <w:sz w:val="24"/>
          <w:szCs w:val="24"/>
        </w:rPr>
        <w:t xml:space="preserve">8.1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4360"/>
      </w:tblGrid>
      <w:tr>
        <w:tc>
          <w:tcPr>
            <w:tcW w:type="dxa" w:w="20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Layer</w:t>
            </w:r>
          </w:p>
        </w:tc>
        <w:tc>
          <w:tcPr>
            <w:tcW w:type="dxa" w:w="30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Technology (Current)</w:t>
            </w:r>
          </w:p>
        </w:tc>
        <w:tc>
          <w:tcPr>
            <w:tcW w:type="dxa" w:w="436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Notes / Phase 2 Evolution</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Frontend</w:t>
            </w:r>
          </w:p>
        </w:tc>
        <w:tc>
          <w:tcPr>
            <w:tcW w:type="dxa" w:w="30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React 18 + Vite + Tailwind CSS</w:t>
            </w:r>
          </w:p>
        </w:tc>
        <w:tc>
          <w:tcPr>
            <w:tcW w:type="dxa" w:w="4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Extend existing prototype. Add React Router nested routes for consultant mode.</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State Management</w:t>
            </w:r>
          </w:p>
        </w:tc>
        <w:tc>
          <w:tcPr>
            <w:tcW w:type="dxa" w:w="30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useState / props (current)</w:t>
            </w:r>
          </w:p>
        </w:tc>
        <w:tc>
          <w:tcPr>
            <w:tcW w:type="dxa" w:w="4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Introduce Zustand or Context API for assessment session state across wizard steps.</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Diagnostic Engine</w:t>
            </w:r>
          </w:p>
        </w:tc>
        <w:tc>
          <w:tcPr>
            <w:tcW w:type="dxa" w:w="30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Client-side logic (current — basic)</w:t>
            </w:r>
          </w:p>
        </w:tc>
        <w:tc>
          <w:tcPr>
            <w:tcW w:type="dxa" w:w="4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Extend to full scoring model. Mapping rules loaded from JSON config. No backend required for Phase 2.</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Program Data</w:t>
            </w:r>
          </w:p>
        </w:tc>
        <w:tc>
          <w:tcPr>
            <w:tcW w:type="dxa" w:w="30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Hardcoded JSX (current)</w:t>
            </w:r>
          </w:p>
        </w:tc>
        <w:tc>
          <w:tcPr>
            <w:tcW w:type="dxa" w:w="4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Move to structured JSON data file. Simple to update. Phase 3: headless CMS (Sanity / Contentful).</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Authentication</w:t>
            </w:r>
          </w:p>
        </w:tc>
        <w:tc>
          <w:tcPr>
            <w:tcW w:type="dxa" w:w="30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None (current)</w:t>
            </w:r>
          </w:p>
        </w:tc>
        <w:tc>
          <w:tcPr>
            <w:tcW w:type="dxa" w:w="4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Phase 2: simple token-based auth for consultant mode. Phase 3: integrate with WA Government SSO (Azure AD).</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PDF Reports</w:t>
            </w:r>
          </w:p>
        </w:tc>
        <w:tc>
          <w:tcPr>
            <w:tcW w:type="dxa" w:w="30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None (current)</w:t>
            </w:r>
          </w:p>
        </w:tc>
        <w:tc>
          <w:tcPr>
            <w:tcW w:type="dxa" w:w="4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Phase 2: client-side PDF generation using @react-pdf/renderer or jsPDF with DPIRD template.</w:t>
            </w:r>
          </w:p>
        </w:tc>
      </w:tr>
      <w:tr>
        <w:tc>
          <w:tcPr>
            <w:tcW w:type="dxa" w:w="20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Email (save results)</w:t>
            </w:r>
          </w:p>
        </w:tc>
        <w:tc>
          <w:tcPr>
            <w:tcW w:type="dxa" w:w="30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None (current)</w:t>
            </w:r>
          </w:p>
        </w:tc>
        <w:tc>
          <w:tcPr>
            <w:tcW w:type="dxa" w:w="436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Phase 2: EmailJS or serverless function (Netlify/Vercel). No dedicated backend required.</w:t>
            </w:r>
          </w:p>
        </w:tc>
      </w:tr>
      <w:tr>
        <w:tc>
          <w:tcPr>
            <w:tcW w:type="dxa" w:w="20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Hosting</w:t>
            </w:r>
          </w:p>
        </w:tc>
        <w:tc>
          <w:tcPr>
            <w:tcW w:type="dxa" w:w="30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Not yet deployed</w:t>
            </w:r>
          </w:p>
        </w:tc>
        <w:tc>
          <w:tcPr>
            <w:tcW w:type="dxa" w:w="436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Phase 2: Vercel or Netlify (static). Phase 3: DPIRD-managed hosting with WAGov compliance.</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8.2 High-Level Component Diagram</w:t>
      </w:r>
    </w:p>
    <w:p>
      <w:pPr>
        <w:spacing w:after="120" w:line="276" w:lineRule="auto"/>
        <w:jc w:val="both"/>
      </w:pPr>
      <w:r>
        <w:rPr>
          <w:rFonts w:ascii="Calibri" w:cs="Calibri" w:eastAsia="Calibri" w:hAnsi="Calibri"/>
          <w:color w:val="333333"/>
          <w:sz w:val="22"/>
          <w:szCs w:val="22"/>
        </w:rPr>
        <w:t xml:space="preserve">The following describes the key frontend components and their relationships:</w:t>
      </w:r>
    </w:p>
    <w:p>
      <w:pPr>
        <w:spacing w:after="80"/>
      </w:pPr>
    </w:p>
    <w:p>
      <w:pPr>
        <w:pStyle w:val="ListParagraph"/>
        <w:numPr>
          <w:ilvl w:val="0"/>
          <w:numId w:val="1"/>
        </w:numPr>
        <w:spacing w:after="80"/>
      </w:pPr>
      <w:r>
        <w:rPr>
          <w:rFonts w:ascii="Calibri" w:cs="Calibri" w:eastAsia="Calibri" w:hAnsi="Calibri"/>
          <w:color w:val="333333"/>
          <w:sz w:val="22"/>
          <w:szCs w:val="22"/>
        </w:rPr>
        <w:t xml:space="preserve">App.jsx — Root router. Defines public routes and consultant-protected routes.</w:t>
      </w:r>
    </w:p>
    <w:p>
      <w:pPr>
        <w:pStyle w:val="ListParagraph"/>
        <w:numPr>
          <w:ilvl w:val="0"/>
          <w:numId w:val="1"/>
        </w:numPr>
        <w:spacing w:after="80"/>
      </w:pPr>
      <w:r>
        <w:rPr>
          <w:rFonts w:ascii="Calibri" w:cs="Calibri" w:eastAsia="Calibri" w:hAnsi="Calibri"/>
          <w:color w:val="333333"/>
          <w:sz w:val="22"/>
          <w:szCs w:val="22"/>
        </w:rPr>
        <w:t xml:space="preserve">pages/Home.jsx — Landing page. Entry points to all three user pathways.</w:t>
      </w:r>
    </w:p>
    <w:p>
      <w:pPr>
        <w:pStyle w:val="ListParagraph"/>
        <w:numPr>
          <w:ilvl w:val="0"/>
          <w:numId w:val="1"/>
        </w:numPr>
        <w:spacing w:after="80"/>
      </w:pPr>
      <w:r>
        <w:rPr>
          <w:rFonts w:ascii="Calibri" w:cs="Calibri" w:eastAsia="Calibri" w:hAnsi="Calibri"/>
          <w:color w:val="333333"/>
          <w:sz w:val="22"/>
          <w:szCs w:val="22"/>
        </w:rPr>
        <w:t xml:space="preserve">pages/Advisor.jsx — Diagnostic wizard. Contains: SectorStep → ProfileStep → DimensionSteps (×3) → ResultsStep.</w:t>
      </w:r>
    </w:p>
    <w:p>
      <w:pPr>
        <w:pStyle w:val="ListParagraph"/>
        <w:numPr>
          <w:ilvl w:val="1"/>
          <w:numId w:val="1"/>
        </w:numPr>
        <w:spacing w:after="80"/>
      </w:pPr>
      <w:r>
        <w:rPr>
          <w:rFonts w:ascii="Calibri" w:cs="Calibri" w:eastAsia="Calibri" w:hAnsi="Calibri"/>
          <w:color w:val="333333"/>
          <w:sz w:val="22"/>
          <w:szCs w:val="22"/>
        </w:rPr>
        <w:t xml:space="preserve">  /components/advisor/ScoringEngine.js — Pure function: takes answers object, returns dimension scores + DML + ranked programs.</w:t>
      </w:r>
    </w:p>
    <w:p>
      <w:pPr>
        <w:pStyle w:val="ListParagraph"/>
        <w:numPr>
          <w:ilvl w:val="1"/>
          <w:numId w:val="1"/>
        </w:numPr>
        <w:spacing w:after="80"/>
      </w:pPr>
      <w:r>
        <w:rPr>
          <w:rFonts w:ascii="Calibri" w:cs="Calibri" w:eastAsia="Calibri" w:hAnsi="Calibri"/>
          <w:color w:val="333333"/>
          <w:sz w:val="22"/>
          <w:szCs w:val="22"/>
        </w:rPr>
        <w:t xml:space="preserve">  /data/programs.json — Master program catalogue with mapping rules.</w:t>
      </w:r>
    </w:p>
    <w:p>
      <w:pPr>
        <w:pStyle w:val="ListParagraph"/>
        <w:numPr>
          <w:ilvl w:val="1"/>
          <w:numId w:val="1"/>
        </w:numPr>
        <w:spacing w:after="80"/>
      </w:pPr>
      <w:r>
        <w:rPr>
          <w:rFonts w:ascii="Calibri" w:cs="Calibri" w:eastAsia="Calibri" w:hAnsi="Calibri"/>
          <w:color w:val="333333"/>
          <w:sz w:val="22"/>
          <w:szCs w:val="22"/>
        </w:rPr>
        <w:t xml:space="preserve">  /data/questions.json — Question bank per dimension + sector variants.</w:t>
      </w:r>
    </w:p>
    <w:p>
      <w:pPr>
        <w:pStyle w:val="ListParagraph"/>
        <w:numPr>
          <w:ilvl w:val="0"/>
          <w:numId w:val="1"/>
        </w:numPr>
        <w:spacing w:after="80"/>
      </w:pPr>
      <w:r>
        <w:rPr>
          <w:rFonts w:ascii="Calibri" w:cs="Calibri" w:eastAsia="Calibri" w:hAnsi="Calibri"/>
          <w:color w:val="333333"/>
          <w:sz w:val="22"/>
          <w:szCs w:val="22"/>
        </w:rPr>
        <w:t xml:space="preserve">pages/Grants.jsx — Grants explorer (extended from prototype).</w:t>
      </w:r>
    </w:p>
    <w:p>
      <w:pPr>
        <w:pStyle w:val="ListParagraph"/>
        <w:numPr>
          <w:ilvl w:val="0"/>
          <w:numId w:val="1"/>
        </w:numPr>
        <w:spacing w:after="80"/>
      </w:pPr>
      <w:r>
        <w:rPr>
          <w:rFonts w:ascii="Calibri" w:cs="Calibri" w:eastAsia="Calibri" w:hAnsi="Calibri"/>
          <w:color w:val="333333"/>
          <w:sz w:val="22"/>
          <w:szCs w:val="22"/>
        </w:rPr>
        <w:t xml:space="preserve">pages/Resources.jsx — Resource library (extended from prototype).</w:t>
      </w:r>
    </w:p>
    <w:p>
      <w:pPr>
        <w:pStyle w:val="ListParagraph"/>
        <w:numPr>
          <w:ilvl w:val="0"/>
          <w:numId w:val="1"/>
        </w:numPr>
        <w:spacing w:after="80"/>
      </w:pPr>
      <w:r>
        <w:rPr>
          <w:rFonts w:ascii="Calibri" w:cs="Calibri" w:eastAsia="Calibri" w:hAnsi="Calibri"/>
          <w:color w:val="333333"/>
          <w:sz w:val="22"/>
          <w:szCs w:val="22"/>
        </w:rPr>
        <w:t xml:space="preserve">pages/consultant/Dashboard.jsx — Consultant-only. Protected route.</w:t>
      </w:r>
    </w:p>
    <w:p>
      <w:pPr>
        <w:pStyle w:val="ListParagraph"/>
        <w:numPr>
          <w:ilvl w:val="0"/>
          <w:numId w:val="1"/>
        </w:numPr>
        <w:spacing w:after="80"/>
      </w:pPr>
      <w:r>
        <w:rPr>
          <w:rFonts w:ascii="Calibri" w:cs="Calibri" w:eastAsia="Calibri" w:hAnsi="Calibri"/>
          <w:color w:val="333333"/>
          <w:sz w:val="22"/>
          <w:szCs w:val="22"/>
        </w:rPr>
        <w:t xml:space="preserve">pages/consultant/SMESession.jsx — Run advisor on behalf of SME. Consultant-only.</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9. Development Roadmap</w:t>
      </w:r>
    </w:p>
    <w:p>
      <w:pPr>
        <w:spacing w:after="120"/>
      </w:pPr>
    </w:p>
    <w:p>
      <w:pPr>
        <w:pStyle w:val="Heading2"/>
        <w:pBdr>
          <w:bottom w:val="single" w:color="C8962B" w:sz="12"/>
        </w:pBdr>
        <w:spacing w:after="120" w:before="320"/>
      </w:pPr>
      <w:r>
        <w:rPr>
          <w:rFonts w:ascii="Calibri" w:cs="Calibri" w:eastAsia="Calibri" w:hAnsi="Calibri"/>
          <w:b/>
          <w:bCs/>
          <w:color w:val="003D7B"/>
          <w:sz w:val="24"/>
          <w:szCs w:val="24"/>
        </w:rPr>
        <w:t xml:space="preserve">Phase 1 — Use Case Definition (Current)</w:t>
      </w:r>
    </w:p>
    <w:p>
      <w:pPr>
        <w:spacing w:after="120" w:line="276" w:lineRule="auto"/>
        <w:jc w:val="both"/>
      </w:pPr>
      <w:r>
        <w:rPr>
          <w:rFonts w:ascii="Calibri" w:cs="Calibri" w:eastAsia="Calibri" w:hAnsi="Calibri"/>
          <w:color w:val="333333"/>
          <w:sz w:val="22"/>
          <w:szCs w:val="22"/>
        </w:rPr>
        <w:t xml:space="preserve">Deliverable: This document. Output approved by DPIRD stakeholders. Program list to be confirmed and added. Diagnostic question bank to be reviewed by DPIRD SMEs.</w:t>
      </w:r>
    </w:p>
    <w:p>
      <w:pPr>
        <w:spacing w:after="80"/>
      </w:pPr>
    </w:p>
    <w:p>
      <w:pPr>
        <w:pStyle w:val="Heading2"/>
        <w:pBdr>
          <w:bottom w:val="single" w:color="C8962B" w:sz="12"/>
        </w:pBdr>
        <w:spacing w:after="120" w:before="320"/>
      </w:pPr>
      <w:r>
        <w:rPr>
          <w:rFonts w:ascii="Calibri" w:cs="Calibri" w:eastAsia="Calibri" w:hAnsi="Calibri"/>
          <w:b/>
          <w:bCs/>
          <w:color w:val="003D7B"/>
          <w:sz w:val="24"/>
          <w:szCs w:val="24"/>
        </w:rPr>
        <w:t xml:space="preserve">Phase 2 — Platform Implementation (Next)</w:t>
      </w:r>
    </w:p>
    <w:p>
      <w:pPr>
        <w:spacing w:after="120" w:line="276" w:lineRule="auto"/>
        <w:jc w:val="both"/>
      </w:pPr>
      <w:r>
        <w:rPr>
          <w:rFonts w:ascii="Calibri" w:cs="Calibri" w:eastAsia="Calibri" w:hAnsi="Calibri"/>
          <w:color w:val="333333"/>
          <w:sz w:val="22"/>
          <w:szCs w:val="22"/>
        </w:rPr>
        <w:t xml:space="preserve">Build on the existing React/Vite prototype. Estimated 6–8 weeks depending on scope confirmation and DPIRD program list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2800"/>
        <w:gridCol w:w="2920"/>
        <w:gridCol w:w="2920"/>
      </w:tblGrid>
      <w:tr>
        <w:tc>
          <w:tcPr>
            <w:tcW w:type="dxa" w:w="7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t>
            </w:r>
          </w:p>
        </w:tc>
        <w:tc>
          <w:tcPr>
            <w:tcW w:type="dxa" w:w="28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Sprint / Milestone</w:t>
            </w:r>
          </w:p>
        </w:tc>
        <w:tc>
          <w:tcPr>
            <w:tcW w:type="dxa" w:w="29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Deliverables</w:t>
            </w:r>
          </w:p>
        </w:tc>
        <w:tc>
          <w:tcPr>
            <w:tcW w:type="dxa" w:w="29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Dependencies</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w:t>
            </w:r>
          </w:p>
        </w:tc>
        <w:tc>
          <w:tcPr>
            <w:tcW w:type="dxa" w:w="28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Data Architecture &amp; Scoring Engine</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programs.json, questions.json, ScoringEngine.js (unit-tested)</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program list confirmed</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2</w:t>
            </w:r>
          </w:p>
        </w:tc>
        <w:tc>
          <w:tcPr>
            <w:tcW w:type="dxa" w:w="28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Diagnostic Wizard (Public Mode)</w:t>
            </w:r>
          </w:p>
        </w:tc>
        <w:tc>
          <w:tcPr>
            <w:tcW w:type="dxa" w:w="29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Extended 6-step wizard with sector selector, 3-dimension questions, real results page</w:t>
            </w:r>
          </w:p>
        </w:tc>
        <w:tc>
          <w:tcPr>
            <w:tcW w:type="dxa" w:w="29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Sprint 1 complete</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3</w:t>
            </w:r>
          </w:p>
        </w:tc>
        <w:tc>
          <w:tcPr>
            <w:tcW w:type="dxa" w:w="28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Results &amp; Program Profiles</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Results dashboard (radar chart), program detail pages, grants explorer (linked)</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Sprint 2 complete</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4</w:t>
            </w:r>
          </w:p>
        </w:tc>
        <w:tc>
          <w:tcPr>
            <w:tcW w:type="dxa" w:w="2800"/>
            <w:shd w:fill="FDF4E4"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Consultant Mode</w:t>
            </w:r>
          </w:p>
        </w:tc>
        <w:tc>
          <w:tcPr>
            <w:tcW w:type="dxa" w:w="29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Auth layer, consultant dashboard, extended view, PDF report generator</w:t>
            </w:r>
          </w:p>
        </w:tc>
        <w:tc>
          <w:tcPr>
            <w:tcW w:type="dxa" w:w="29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Sprint 3 complete</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5</w:t>
            </w:r>
          </w:p>
        </w:tc>
        <w:tc>
          <w:tcPr>
            <w:tcW w:type="dxa" w:w="2800"/>
            <w:shd w:fill="EAF2FB" w:val="clear"/>
            <w:tcMar>
              <w:top w:type="dxa" w:w="60"/>
              <w:left w:type="dxa" w:w="120"/>
              <w:bottom w:type="dxa" w:w="60"/>
              <w:right w:type="dxa" w:w="120"/>
            </w:tcMar>
          </w:tcPr>
          <w:p>
            <w:pPr>
              <w:jc w:val="left"/>
            </w:pPr>
            <w:r>
              <w:rPr>
                <w:rFonts w:ascii="Calibri" w:cs="Calibri" w:eastAsia="Calibri" w:hAnsi="Calibri"/>
                <w:b/>
                <w:bCs/>
                <w:color w:val="003D7B"/>
                <w:sz w:val="18"/>
                <w:szCs w:val="18"/>
              </w:rPr>
              <w:t xml:space="preserve">QA, UAT &amp; Launch</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Cross-browser testing, DPIRD UAT with 3–5 real SME scenarios, WA accessibility compliance</w:t>
            </w:r>
          </w:p>
        </w:tc>
        <w:tc>
          <w:tcPr>
            <w:tcW w:type="dxa" w:w="29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Sprint 4 complete</w:t>
            </w:r>
          </w:p>
        </w:tc>
      </w:tr>
    </w:tbl>
    <w:p>
      <w:pPr>
        <w:spacing w:after="160"/>
      </w:pPr>
    </w:p>
    <w:p>
      <w:pPr>
        <w:pStyle w:val="Heading2"/>
        <w:pBdr>
          <w:bottom w:val="single" w:color="C8962B" w:sz="12"/>
        </w:pBdr>
        <w:spacing w:after="120" w:before="320"/>
      </w:pPr>
      <w:r>
        <w:rPr>
          <w:rFonts w:ascii="Calibri" w:cs="Calibri" w:eastAsia="Calibri" w:hAnsi="Calibri"/>
          <w:b/>
          <w:bCs/>
          <w:color w:val="003D7B"/>
          <w:sz w:val="24"/>
          <w:szCs w:val="24"/>
        </w:rPr>
        <w:t xml:space="preserve">Phase 3 — Future Enhancements</w:t>
      </w:r>
    </w:p>
    <w:p>
      <w:pPr>
        <w:pStyle w:val="ListParagraph"/>
        <w:numPr>
          <w:ilvl w:val="0"/>
          <w:numId w:val="1"/>
        </w:numPr>
        <w:spacing w:after="80"/>
      </w:pPr>
      <w:r>
        <w:rPr>
          <w:rFonts w:ascii="Calibri" w:cs="Calibri" w:eastAsia="Calibri" w:hAnsi="Calibri"/>
          <w:color w:val="333333"/>
          <w:sz w:val="22"/>
          <w:szCs w:val="22"/>
        </w:rPr>
        <w:t xml:space="preserve">CMS integration for program/grant data management by DPIRD staff.</w:t>
      </w:r>
    </w:p>
    <w:p>
      <w:pPr>
        <w:pStyle w:val="ListParagraph"/>
        <w:numPr>
          <w:ilvl w:val="0"/>
          <w:numId w:val="1"/>
        </w:numPr>
        <w:spacing w:after="80"/>
      </w:pPr>
      <w:r>
        <w:rPr>
          <w:rFonts w:ascii="Calibri" w:cs="Calibri" w:eastAsia="Calibri" w:hAnsi="Calibri"/>
          <w:color w:val="333333"/>
          <w:sz w:val="22"/>
          <w:szCs w:val="22"/>
        </w:rPr>
        <w:t xml:space="preserve">WA Government SSO (Azure AD) for consultant authentication.</w:t>
      </w:r>
    </w:p>
    <w:p>
      <w:pPr>
        <w:pStyle w:val="ListParagraph"/>
        <w:numPr>
          <w:ilvl w:val="0"/>
          <w:numId w:val="1"/>
        </w:numPr>
        <w:spacing w:after="80"/>
      </w:pPr>
      <w:r>
        <w:rPr>
          <w:rFonts w:ascii="Calibri" w:cs="Calibri" w:eastAsia="Calibri" w:hAnsi="Calibri"/>
          <w:color w:val="333333"/>
          <w:sz w:val="22"/>
          <w:szCs w:val="22"/>
        </w:rPr>
        <w:t xml:space="preserve">Analytics dashboard: tracking most common DML levels, top-matched programs, diagnostic completion rates.</w:t>
      </w:r>
    </w:p>
    <w:p>
      <w:pPr>
        <w:pStyle w:val="ListParagraph"/>
        <w:numPr>
          <w:ilvl w:val="0"/>
          <w:numId w:val="1"/>
        </w:numPr>
        <w:spacing w:after="80"/>
      </w:pPr>
      <w:r>
        <w:rPr>
          <w:rFonts w:ascii="Calibri" w:cs="Calibri" w:eastAsia="Calibri" w:hAnsi="Calibri"/>
          <w:color w:val="333333"/>
          <w:sz w:val="22"/>
          <w:szCs w:val="22"/>
        </w:rPr>
        <w:t xml:space="preserve">AI-powered natural language advisory layer (conversational interface layered on top of the scoring engine).</w:t>
      </w:r>
    </w:p>
    <w:p>
      <w:pPr>
        <w:pStyle w:val="ListParagraph"/>
        <w:numPr>
          <w:ilvl w:val="0"/>
          <w:numId w:val="1"/>
        </w:numPr>
        <w:spacing w:after="80"/>
      </w:pPr>
      <w:r>
        <w:rPr>
          <w:rFonts w:ascii="Calibri" w:cs="Calibri" w:eastAsia="Calibri" w:hAnsi="Calibri"/>
          <w:color w:val="333333"/>
          <w:sz w:val="22"/>
          <w:szCs w:val="22"/>
        </w:rPr>
        <w:t xml:space="preserve">Multilingual support if required by DPIRD accessibility policy.</w:t>
      </w:r>
    </w:p>
    <w:p>
      <w:pPr>
        <w:spacing w:after="160"/>
      </w:pPr>
    </w:p>
    <w:p>
      <w:r>
        <w:br w:type="page"/>
      </w:r>
    </w:p>
    <w:p>
      <w:pPr>
        <w:pStyle w:val="Heading1"/>
        <w:shd w:fill="003D7B" w:val="clear"/>
        <w:spacing w:after="200" w:before="400"/>
        <w:ind w:left="200" w:right="200"/>
      </w:pPr>
      <w:r>
        <w:rPr>
          <w:rFonts w:ascii="Calibri" w:cs="Calibri" w:eastAsia="Calibri" w:hAnsi="Calibri"/>
          <w:b/>
          <w:bCs/>
          <w:color w:val="FFFFFF"/>
          <w:sz w:val="28"/>
          <w:szCs w:val="28"/>
        </w:rPr>
        <w:t xml:space="preserve">10. Open Items &amp; Decisions Required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thick" w:color="003D7B" w:sz="12"/>
              <w:left w:val="thick" w:color="003D7B" w:sz="12"/>
              <w:bottom w:val="nil"/>
              <w:right w:val="nil"/>
            </w:tcBorders>
            <w:shd w:fill="FDF4E4" w:val="clear"/>
            <w:tcMar>
              <w:top w:type="dxa" w:w="120"/>
              <w:left w:type="dxa" w:w="200"/>
              <w:bottom w:type="dxa" w:w="120"/>
              <w:right w:type="dxa" w:w="200"/>
            </w:tcMar>
          </w:tcPr>
          <w:p>
            <w:pPr>
              <w:spacing w:after="60"/>
            </w:pPr>
            <w:r>
              <w:rPr>
                <w:rFonts w:ascii="Calibri" w:cs="Calibri" w:eastAsia="Calibri" w:hAnsi="Calibri"/>
                <w:b/>
                <w:bCs/>
                <w:color w:val="003D7B"/>
                <w:sz w:val="22"/>
                <w:szCs w:val="22"/>
              </w:rPr>
              <w:t xml:space="preserve">Action Required from DPIRD</w:t>
            </w:r>
          </w:p>
          <w:p>
            <w:pPr>
              <w:spacing w:after="0"/>
            </w:pPr>
            <w:r>
              <w:rPr>
                <w:rFonts w:ascii="Calibri" w:cs="Calibri" w:eastAsia="Calibri" w:hAnsi="Calibri"/>
                <w:color w:val="333333"/>
                <w:sz w:val="20"/>
                <w:szCs w:val="20"/>
              </w:rPr>
              <w:t xml:space="preserve">The following items require confirmation from DPIRD before Phase 2 implementation can begin. Please provide input at the earliest convenience.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3600"/>
        <w:gridCol w:w="2520"/>
        <w:gridCol w:w="2520"/>
      </w:tblGrid>
      <w:tr>
        <w:tc>
          <w:tcPr>
            <w:tcW w:type="dxa" w:w="7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t>
            </w:r>
          </w:p>
        </w:tc>
        <w:tc>
          <w:tcPr>
            <w:tcW w:type="dxa" w:w="360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Open Item</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Owner</w:t>
            </w:r>
          </w:p>
        </w:tc>
        <w:tc>
          <w:tcPr>
            <w:tcW w:type="dxa" w:w="2520"/>
            <w:shd w:fill="003D7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Target Date</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1</w:t>
            </w:r>
          </w:p>
        </w:tc>
        <w:tc>
          <w:tcPr>
            <w:tcW w:type="dxa" w:w="36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Full DPIRD program catalogue: all programs to be mapped, with eligibility rules, funding amounts, and applicable sectors.</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Program Manager</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2</w:t>
            </w:r>
          </w:p>
        </w:tc>
        <w:tc>
          <w:tcPr>
            <w:tcW w:type="dxa" w:w="36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Diagnostic question bank review: subject matter experts to validate that questions accurately reflect SME realities in WA.</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Consultant Team</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3</w:t>
            </w:r>
          </w:p>
        </w:tc>
        <w:tc>
          <w:tcPr>
            <w:tcW w:type="dxa" w:w="36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Dimension weights confirmation: agree on the weighting (Ops 35% / Digital 40% / Market 25%) or adjust based on DPIRD policy priorities.</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Eleven June + DPIRD</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4</w:t>
            </w:r>
          </w:p>
        </w:tc>
        <w:tc>
          <w:tcPr>
            <w:tcW w:type="dxa" w:w="36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Hosting &amp; compliance requirements: confirm whether the platform must be hosted on WA Government infrastructure and comply with specific data residency rules.</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IT / Legal</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r>
        <w:tc>
          <w:tcPr>
            <w:tcW w:type="dxa" w:w="7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5</w:t>
            </w:r>
          </w:p>
        </w:tc>
        <w:tc>
          <w:tcPr>
            <w:tcW w:type="dxa" w:w="360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Consultant authentication method: confirm whether to use a simple credential system for Phase 2 or integrate with Azure AD from the start.</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IT</w:t>
            </w:r>
          </w:p>
        </w:tc>
        <w:tc>
          <w:tcPr>
            <w:tcW w:type="dxa" w:w="2520"/>
            <w:shd w:fill="EAF2FB"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r>
        <w:tc>
          <w:tcPr>
            <w:tcW w:type="dxa" w:w="7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6</w:t>
            </w:r>
          </w:p>
        </w:tc>
        <w:tc>
          <w:tcPr>
            <w:tcW w:type="dxa" w:w="360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Brand guidelines: provide DPIRD and/or WA Government brand assets (logo, colour palette, typography) for frontend styling and PDF report template.</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DPIRD Communications</w:t>
            </w:r>
          </w:p>
        </w:tc>
        <w:tc>
          <w:tcPr>
            <w:tcW w:type="dxa" w:w="2520"/>
            <w:shd w:fill="FDF4E4" w:val="clear"/>
            <w:tcMar>
              <w:top w:type="dxa" w:w="60"/>
              <w:left w:type="dxa" w:w="120"/>
              <w:bottom w:type="dxa" w:w="60"/>
              <w:right w:type="dxa" w:w="120"/>
            </w:tcMar>
          </w:tcPr>
          <w:p>
            <w:pPr>
              <w:jc w:val="left"/>
            </w:pPr>
            <w:r>
              <w:rPr>
                <w:rFonts w:ascii="Calibri" w:cs="Calibri" w:eastAsia="Calibri" w:hAnsi="Calibri"/>
                <w:b w:val="false"/>
                <w:bCs w:val="false"/>
                <w:color w:val="333333"/>
                <w:sz w:val="18"/>
                <w:szCs w:val="18"/>
              </w:rPr>
              <w:t xml:space="preserve">TBD</w:t>
            </w:r>
          </w:p>
        </w:tc>
      </w:tr>
    </w:tbl>
    <w:p>
      <w:pPr>
        <w:spacing w:after="480"/>
      </w:pPr>
    </w:p>
    <w:p>
      <w:pPr>
        <w:pBdr>
          <w:bottom w:val="single" w:color="003D7B" w:sz="6"/>
        </w:pBdr>
        <w:spacing w:after="120"/>
      </w:pPr>
    </w:p>
    <w:p>
      <w:pPr>
        <w:spacing w:after="60"/>
        <w:jc w:val="center"/>
      </w:pPr>
      <w:r>
        <w:rPr>
          <w:rFonts w:ascii="Calibri" w:cs="Calibri" w:eastAsia="Calibri" w:hAnsi="Calibri"/>
          <w:i/>
          <w:iCs/>
          <w:color w:val="AAAAAA"/>
          <w:sz w:val="18"/>
          <w:szCs w:val="18"/>
        </w:rPr>
        <w:t xml:space="preserve">Document prepared by Eleven June Consulting  ·  estebane.torresc@gmail.com  ·  August 2026</w:t>
      </w:r>
    </w:p>
    <w:p>
      <w:pPr>
        <w:spacing w:after="0"/>
        <w:jc w:val="center"/>
      </w:pPr>
      <w:r>
        <w:rPr>
          <w:rFonts w:ascii="Calibri" w:cs="Calibri" w:eastAsia="Calibri" w:hAnsi="Calibri"/>
          <w:i/>
          <w:iCs/>
          <w:color w:val="AAAAAA"/>
          <w:sz w:val="18"/>
          <w:szCs w:val="18"/>
        </w:rPr>
        <w:t xml:space="preserve">DPIRD Western Australia — Digital SME Support Platform  ·  CONFIDENTIAL</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7B" w:sz="4"/>
      </w:pBdr>
      <w:spacing w:before="0"/>
      <w:jc w:val="center"/>
    </w:pPr>
    <w:r>
      <w:rPr>
        <w:rFonts w:ascii="Calibri" w:cs="Calibri" w:eastAsia="Calibri" w:hAnsi="Calibri"/>
        <w:color w:val="AAAAAA"/>
        <w:sz w:val="16"/>
        <w:szCs w:val="16"/>
      </w:rPr>
      <w:t xml:space="preserve">Eleven June Consulting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7B" w:sz="4"/>
      </w:pBdr>
      <w:spacing w:after="0"/>
      <w:jc w:val="right"/>
    </w:pPr>
    <w:r>
      <w:rPr>
        <w:rFonts w:ascii="Calibri" w:cs="Calibri" w:eastAsia="Calibri" w:hAnsi="Calibri"/>
        <w:color w:val="AAAAAA"/>
        <w:sz w:val="16"/>
        <w:szCs w:val="16"/>
      </w:rPr>
      <w:t xml:space="preserve">DPIRD WA — Digital SME Support Platform  ·  Use Case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2026-08-15T03:25:28.620Z</dcterms:created>
  <dcterms:modified xsi:type="dcterms:W3CDTF">2026-08-15T03:25:28.634Z</dcterms:modified>
</cp:coreProperties>
</file>

<file path=docProps/custom.xml><?xml version="1.0" encoding="utf-8"?>
<Properties xmlns="http://schemas.openxmlformats.org/officeDocument/2006/custom-properties" xmlns:vt="http://schemas.openxmlformats.org/officeDocument/2006/docPropsVTypes"/>
</file>