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2"/>
          <w:szCs w:val="52"/>
        </w:rPr>
        <w:t xml:space="preserve">AUDITORÍA CUANTITATIVA — V2</w:t>
      </w:r>
    </w:p>
    <w:p>
      <w:pPr>
        <w:spacing w:after="200"/>
        <w:jc w:val="center"/>
      </w:pPr>
      <w:r>
        <w:rPr>
          <w:b/>
          <w:bCs/>
          <w:color w:val="1F3354"/>
          <w:sz w:val="32"/>
          <w:szCs w:val="32"/>
        </w:rPr>
        <w:t xml:space="preserve">Re-auditoría post-corrección — Motor GEX / VEX / Dealer Analysis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EXPOSURE Dashboard — gexvex.dapintegratedsolutions.com</w:t>
      </w:r>
    </w:p>
    <w:p>
      <w:pPr>
        <w:spacing w:after="1600"/>
        <w:jc w:val="center"/>
      </w:pPr>
      <w:r>
        <w:rPr>
          <w:sz w:val="22"/>
          <w:szCs w:val="22"/>
        </w:rPr>
        <w:t xml:space="preserve">Fecha: 12 de junio de 2026 · Auditoría original: 11-jun-2026</w:t>
      </w:r>
    </w:p>
    <w:p>
      <w:pPr>
        <w:spacing w:after="120"/>
      </w:pPr>
      <w:r>
        <w:t xml:space="preserve">Alcance: verificación independiente de las 13 correcciones declaradas en PLAN_CORRECCION_AUDITORIA.md contra (1) el código fuente post-corrección completo (gex-engine.ts, route.ts, snapshots/route.ts, page.tsx, GammaMatrix.tsx, backend/main.py, dealer-builder.js), (2) re-ejecución de la batería de validación numérica (7 re-tests), y (3) datos en vivo del deploy en producción con mercado abierto (12-jun-2026, ~11:15 ET).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Las correcciones son reales y están operativas en producción. De los 13 ítems del plan, 12 quedan verificados de forma independiente a nivel de código, test numérico y/o datos en vivo; 1 (sanitización de IV) queda parcial porque implementa el filtro de rango pero no la reparación por paridad call/put que era la otra mitad del hallazgo C4 original. Los cinco errores críticos de la auditoría v1 (vanna con √T extra, signo dealer invertido en calls, mezcla de convenciones sin dato UW, IV basura sin filtrar, gamma flip en el primer cruce) ya no existen en el código desplegado.</w:t>
      </w:r>
    </w:p>
    <w:p>
      <w:pPr>
        <w:spacing w:after="120"/>
      </w:pPr>
      <w:r>
        <w:t xml:space="preserve">Evidencia en vivo más contundente (SPY, vencimiento 15-jun, spot 742.68): los contratos con IV corrupta llegan ahora con IV=0 y GEX=0 en lugar de fabricar gamma; y el Gamma Flip se publica en 739.85, a −0.38% del spot — en la v1 el mismo cálculo daba desviaciones de −8% (SPY) y −19% (GOOGL).</w:t>
      </w:r>
    </w:p>
    <w:p>
      <w:pPr>
        <w:spacing w:after="120"/>
      </w:pPr>
      <w:r>
        <w:t xml:space="preserve">Lo que queda pendiente es de segunda orden pero no es cosmético: (1) la sanitización descarta el lado ITM corrupto en lugar de repararlo, así que el perfil ITM sigue ausente del mapa y la gamma de call y put al mismo strike sigue difiriendo hasta 2.5× dentro del rango aceptado — la paridad call/put con una sola gamma por strike sigue siendo la mejora de mayor impacto disponible; (2) en modo DEALER la vanna pasa por Math.abs(), que destruye su signo intrínseco (correcto para gamma, incorrecto para vanna); (3) RAW GEX y RAW VEX siguen asumiendo posicionamientos dealer contradictorios; (4) la persistencia server-side usa un Map en memoria del proceso, que en Vercel (serverless multi-instancia) se fragmenta y se vacía en cada cold start. Con estos cuatro puntos resueltos, el sistema queda a nivel de las herramientas comerciales de referencia en su núcleo GEX/VEX.</w:t>
      </w:r>
    </w:p>
    <w:p>
      <w:pPr>
        <w:spacing w:after="120"/>
      </w:pPr>
      <w:r>
        <w:rPr>
          <w:b/>
          <w:bCs/>
        </w:rPr>
        <w:t xml:space="preserve">Veredicto operativo: el núcleo GEX (RAW y DEALER), King Node, Net GEX y Gamma Flip son utilizables para lectura estructural en SPY/QQQ y, gracias a los parámetros grid-aware, ahora también en GOOGL/TSLA. El lado ITM ausente sigue recomendando cautela en lecturas de Net GEX absoluto, y la VEX Matrix es confiable en RAW pero no en DEALER hasta corregir el abs().</w:t>
      </w:r>
    </w:p>
    <w:p>
      <w:r>
        <w:br w:type="page"/>
      </w:r>
    </w:p>
    <w:p>
      <w:pPr>
        <w:pStyle w:val="Heading1"/>
      </w:pPr>
      <w:r>
        <w:t xml:space="preserve">2. Métricas de evaluación — antes y después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v2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Teoría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/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 / 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VEX correctamente definido como exposición a vanna (∂Δ/∂IV, alineado con Heatseeker/Skylit); riesgo multiplicativo con signo del King (pin ⇒ riesgo bajo); presión en unidades comparables. Resta: convención de signo de vanna inconsistente entre RAW y DEALER, y umbrales (0.05/0.20, HHI 0.3/0.6, EMA 0.4/0.7) sin calibración empírica.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/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único gex-engine.ts (r=4.5%, T a 16:00 ET, vanna exacta verificada ratio 1.0000 vs diferencias finitas); todas las copias eliminadas; hardcodes fuera; lock en build. Resta: abs() sobre vanna en DEALER, sanitización local de GammaMatrix sin límite inferior, README declara paridad call/put que el código no contiene.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Precisión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/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/ 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Flip a −0.4% del spot en vivo (antes −8/−19%); IV basura ya no fabrica Kings; T sin error de 8 h en 0DTE. Resta: lado ITM descartado (no reparado), γcall/γput hasta 2.5× distintas al mismo strike dentro del rango válido, OI con rezago de 1 día (límite de Yahoo).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Robustez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/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/ 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Métricas invariantes al zoom (cadena completa, HHI, straddle); persistencia server-side con EMA continua; parámetros relativos al grid; lock anti-DoS. Resta: store de snapshots en memoria de proceso (se pierde en cold starts y se fragmenta entre instancias serverless), alimentación dependiente de que un cliente tenga la página abierta, y caché aguas arriba que puede servir respuestas obsoletas para URLs repetidas.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Utilidad operativa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/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GEX RAW/DEALER, King, Net y Flip utilizables en SPY/QQQ/GOOGL/TSLA ≥0DTE con las cautelas del ITM; escenarios y S/R ahora coherentes en grids de 2.5/5; VEX Matrix utilizable en RAW. DEALER VEX y Net GEX absoluto requieren las correcciones residuales.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Verificación independiente de los 13 ítems del plan</w:t>
      </w:r>
    </w:p>
    <w:p>
      <w:pPr>
        <w:spacing w:after="120"/>
      </w:pPr>
      <w:r>
        <w:t xml:space="preserve">Cada ítem fue verificado contra el código real (no contra lo declarado), re-ejecutando los tests de validación y contrastando con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500"/>
        <w:gridCol w:w="42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Corrección declarada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 de verificación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Vanna = −φ(d1)·d2/σ (C1)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gex-engine.ts calcVanna; re-test vs diferencia finita: ratio 1.0000 en 0DTE/2DTE/30d/180d. Cero ocurrencias del patrón viejo −(vega·d2)/(S·σ).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Signo dealer: −clientBias·|GEX| (C2)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bloques (page.tsx ×3, GammaMatrix ×1). Re-test de 4 escenarios cliente: todos OK (v1 fallaban los 2 de calls).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sin dato UW: call −1 / put +1 (C3)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clientBias = type==='CALL' ? −1 : 1 antes del lookup UW; prior SqueezeMetrics correcto; display 'prior −/+'.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Sanitización IV [3%, 400%] (C4+C5)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◐ PARCIAL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verificado en route.ts, backend y producción (contratos basura → iv:0, gex:0; heurística /100 eliminada, IVs 137–575% ya no se destruyen). PARCIAL: no repara IV desde mid-price ni unifica gamma por strike vía paridad — el lado ITM sigue ausente (ver R1). El README declara 'paridad call/put OTM' que el código no implementa.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Gamma flip: cruce más cercano (C7)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findGammaFlip recopila todos los cruces y elige el más cercano; bug de bisección (gexPrev por cierre) también corregido. Producción: SPY 3DTE flip 739.85 / spot 742.68 = −0.38%. Re-test perfil bicruce: devuelve 695, no 612.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Parámetros grid-aware (C6)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gridStep = mediana de diferencias; cadena de absorción ≤2·gridStep (re-test: TSLA/GOOGL ya forman cadenas de 3 nodos); vacío &gt;gridStep; near-spot 1.5% del spot; King dist en múltiplos de gridStep; S/R sin filtro gex&gt;0 (0 ocurrencias del filtro viejo).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Motor único compartido (M1–M3)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gex-engine.ts importado por route.ts, page.tsx y GammaMatrix; backend replica r=0.045 y T=20:30 UTC; cero copias de la fórmula vieja.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Presión VEX/GEX unidades comparables (C8)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ratio = |netVex|/|netGex| — $ de delta por 1 pt de vol vs $ por 1% de spot (los ×0.01 se cancelan); umbrales 0.05/0.20; display 0.XXX×. Económicamente interpretable.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Persistencia server-side + EMA (6.6)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/api/snapshots con EMA continua exp(−Δt·ln2/45min); side-effect movido de useMemo a useEffect (fix StrictMode). Limitación de infraestructura: ver R4.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V2 multiplicativo (6.5)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= 1−(1−frag·react)(1−inest·prox); react = max(0,−netGEX)/Σ|GEX| se anula en régimen positivo; prox normalizada al straddle ATM. Re-test pin (spot=king positivo, EMA alta): 0.20 (Bajo) ✓; gamma negativa + King inestable: 0.79 (Alto) ✓.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Métricas invariantes a la UI (6.1/6.3/6.9)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Dominancia y sesgo sobre sumAbsAllGex (cadena completa); etiqueta de sesgo con signo ('Positivo/Negativo Dominante'); densidad por HHI normalizado; compresión en unidades de straddle. Ya no dependen del Window ±10/±20/±30.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Dealer-builder sin path dependency (7.1)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Cierres proporcionales al split vigente; day-0 con prior 50/50; renormalización buy+sell=lastOI (verificado: caso GOOGL del doc da exactamente 14 353). Nota: el 'decay' por recencia del título no se implementó (ver R7).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Hardcodes, lock, labels (M4/M8/M9)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✔ VERIFICADO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 ocurrencias de '745'; lock booleano + guard Vercel + 429 en build route; labels '$ per 1% spot move', 'OI as-of', 'X of Y shown'.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Evidencia en producción (12-jun-2026, mercado abierto)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 (11-jun)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 (12-jun, en vivo)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IV corrupta (calls ITM)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IV=1e-5 con gamma fabricada (QQQ King 718 con IV 1.18% y GEX 390M ficticios)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SPY 15-jun: contratos basura devuelven impliedVolatility: 0, gamma 0, GEX 0 — descartados explícitamente, ya no fabrican nodos.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Gamma Flip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SPY −8.1% del spot; GOOGL −19.4% (primer cruce del barrido)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SPY 15-jun: flip 739.85 con spot 742.68 (−0.38%) — cruce relevante al régimen actual.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Heurística IV&gt;1 → /100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IVs legítimas de alas (137–575%) convertidas en 1.4–5.8% solo en frontend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Eliminada; rango [3%, 400%] idéntico en backend, route y frontend.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 en 0DTE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Medianoche UTC (error ~8 h); floors inconsistentes (0.5 d / 1e-4 años)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calcT con 20:30 UTC en todos los consumidores (nota: 16:00 ET = 20:00 UTC en horario de verano; error residual fijo de 30 min, documentado y aceptable).</w:t>
            </w:r>
          </w:p>
        </w:tc>
      </w:tr>
    </w:tbl>
    <w:p>
      <w:pPr>
        <w:spacing w:after="120"/>
      </w:pPr>
      <w:r>
        <w:rPr>
          <w:i/>
          <w:iCs/>
        </w:rPr>
        <w:t xml:space="preserve">Observación de caché: una URL repetida (GOOGL exp 18-jun, consultada ayer) devolvió una respuesta byte a byte idéntica a la de ayer incluso con parámetro anti-caché (que el proxy normaliza y elimina). Una combinación nunca consultada devolvió datos frescos del código nuevo. Conviene revisar los headers de caché del proxy/CDN delante del API: el route declara force-dynamic, pero algo aguas arriba (o intermediarios del cliente) puede servir respuestas viejas a consumidores que repiten URLs.</w:t>
      </w:r>
    </w:p>
    <w:p>
      <w:r>
        <w:br w:type="page"/>
      </w:r>
    </w:p>
    <w:p>
      <w:pPr>
        <w:pStyle w:val="Heading1"/>
      </w:pPr>
      <w:r>
        <w:t xml:space="preserve">5. Hallazgos residuales (auditoría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300"/>
        <w:gridCol w:w="2130"/>
        <w:gridCol w:w="213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sanitización filtra pero no repara: contratos con IV fuera de rango se descartan (gex=0) en lugar de re-derivar la IV desde el mid-price; y no hay gamma única por strike vía paridad. En producción (SPY 15-jun): todo el lado call ITM ≤737 en cero, y al mismo strike 740 γcall=0.066 vs γput=0.026 (2.5×) — teóricamente idénticas.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perfil ITM sigue ausente del mapa; Net GEX y el balance call/put por strike siguen contaminados por ruido de datos dentro del rango aceptado; el Flip se calcula sobre un perfil asimétrico.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Implementar lo planificado: IV implícita desde mid (Brent/Newton) cuando el rango falla y bid/ask existen; gamma por strike con la IV del contrato OTM (paridad). Es la mitad pendiente del ítem 4 y la mejora de mayor impacto disponible. 8–12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Modo DEALER aplica −clientBias × Math.abs(baseValue) también al VEX. Para GEX el abs es inocuo (γ·OI·S² siempre &gt;0), pero la vanna tiene signo intrínseco propio (positivo OTM-call/ITM-put, negativo ITM-call/OTM-put vía d2): el abs lo destruye e impone que toda call sea +vanna y toda put −vanna.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VEX Matrix en modo DEALER asigna el signo equivocado a los contratos ITM; el netVex dealer y la Presión quedan distorsionados en cadenas con OI ITM relevante.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dealerVex = −clientBias × vex (sin abs). Mantener abs solo para GEX o reescribir como −clientBias × γ·OI·S². 1–2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Convención de posicionamiento inconsistente entre matrices en modo RAW: GEX usa call + / put − (dealer largo calls, corto puts), pero VEX suma la vanna de calls y puts sin distinción de tipo — asume dealer largo todo.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dos matrices RAW no son comparables entre sí: describen dos dealers distintos. La Presión VEX/GEX mezcla ambas convenciones.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RAW: vex_dealer = +vanna_call − vanna_put (misma convención que GEX). 1–2 h. (Hallazgo de la v1, sección 5, que no entró en el plan de 13 ítems.)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Persistencia server-side sobre Map en memoria del proceso Next.js. En Vercel/serverless: cada instancia tiene su propio store, los cold starts lo vacían y el balanceo fragmenta la serie. Además el POST lo dispara el navegador del usuario: sin pestañas abiertas no hay serie.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EMA de persistencia (insumo del Riesgo V2 vía 'inestabilidad') se resetea a 0.5 con frecuencia en producción: el riesgo oscila por infraestructura, no por mercado.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Persistir en storage durable (Vercel KV/Redis/archivo en VPS) y alimentar con un cron server-side (cada 1–5 min) independiente de los clientes. 4–8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Sanitización local de GammaMatrix: sigma&lt;=0 || sigma&gt;4 (falta el límite inferior 0.03) y page.tsx replica el rango a mano en 3 puntos en vez de importar sanitizeIV() del motor.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Hoy inocuo (el route ya entrega IV sanitizada), pero es defensa inconsistente: cualquier consumo futuro de datos crudos reintroduce el bug C4 silenciosamente.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Reemplazar todos los checks manuales por sanitizeIV() del gex-engine. 1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Ítem 12 se titulaba 'decay' pero no hay ponderación por recencia en dealer-builder: un flujo de hace 6 meses pesa igual que el de ayer; y el prior de day-0 es 50/50 neutro en vez del prior por tipo (call −/put +) usado en el resto del sistema.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bias de contratos viejos refleja historia, no posicionamiento vigente; menor mientras la cobertura UW sea de contratos recientes.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Ponderar ΔOI por exp(−edad/half-life≈20 días) y arrancar day-0 con el prior por tipo. 3–4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Calibraciones heurísticas sin respaldo empírico: Presión 0.05/0.20, HHI 0.3/0.6, EMA 0.4/0.7, half-life 45 min, dominancia 20/40/60.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 etiquetas cualitativas (Mixto, Compacta, Persistente…) pueden no discriminar regímenes reales.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Backtest simple sobre snapshots históricos: distribución de cada métrica y percentiles 33/66 por ticker. 6–8 h.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  <w:sz w:val="18"/>
                <w:szCs w:val="18"/>
              </w:rPr>
              <w:t xml:space="preserve">BAJA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calcT fija 20:30 UTC todo el año; en horario de verano 16:00 ET = 20:00 UTC (error fijo +30 min). Documentado en el código como aproximación deliberada.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0DTE a última hora el T queda ~10–15% alto; gamma ATM levemente subestimada cerca del cierre.</w:t>
            </w:r>
          </w:p>
        </w:tc>
        <w:tc>
          <w:tcPr>
            <w:tcW w:type="dxa" w:w="2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Opcional: detectar DST por fecha (offset abr–oct = 20:00). 1 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Recomendaciones — siguiente iteración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1300"/>
        <w:gridCol w:w="21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3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Paridad call/put + re-derivación de IV desde mid-price (cierra R1, completa el ítem 4 original). Corregir también el README que la declara implementada.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8–12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Quitar Math.abs() de la vanna en DEALER y unificar convención de signo VEX en RAW (+vanna_call − vanna_put) — cierra R2 y R3 y deja GEX/VEX con el mismo dealer implícito.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Persistencia durable (KV/Redis) + cron server-side de snapshots — cierra R4 y estabiliza el Riesgo V2 en producción.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4–8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Centralizar sanitizeIV() en todos los consumidores (R5).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Decay por recencia y prior por tipo en dealer-builder (R6).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3–4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Calibración empírica de umbrales con histórico de snapshots (R7) y ajuste DST de calcT (R8).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7–9 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Revisar política de caché del proxy/CDN delante de /api/options (respuestas obsoletas para URLs repetidas observadas durante la auditoría).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 h</w:t>
            </w:r>
          </w:p>
        </w:tc>
      </w:tr>
    </w:tbl>
    <w:p>
      <w:pPr>
        <w:spacing w:after="120"/>
      </w:pPr>
      <w:r>
        <w:t xml:space="preserve">Total estimado: 26–40 h. Con los puntos 1 y 2 (10–16 h) el sistema cierra todas las brechas matemáticas conocidas; 3 y 4 consolidan la robustez operativa.</w:t>
      </w:r>
    </w:p>
    <w:p>
      <w:r>
        <w:br w:type="page"/>
      </w:r>
    </w:p>
    <w:p>
      <w:pPr>
        <w:pStyle w:val="Heading1"/>
      </w:pPr>
      <w:r>
        <w:t xml:space="preserve">7. Veredicto final</w:t>
      </w:r>
    </w:p>
    <w:p>
      <w:pPr>
        <w:spacing w:after="120"/>
      </w:pPr>
      <w:r>
        <w:t xml:space="preserve">La re-auditoría confirma que el equipo ejecutó el plan con fidelidad: los cinco errores críticos de la v1 están corregidos en el código y verificados en producción con mercado abierto, el motor está unificado, las métricas del Dealer Analysis ya no dependen de la UI y el Riesgo V2 se comporta correctamente en el escenario de pin que antes invertía. La distancia entre lo declarado y lo implementado es mínima y está documentada en este informe (paridad call/put declarada pero no implementada; 'decay' del dealer-builder no implementado).</w:t>
      </w:r>
    </w:p>
    <w:p>
      <w:pPr>
        <w:spacing w:after="120"/>
      </w:pPr>
      <w:r>
        <w:t xml:space="preserve">Estado operativo: apto para lectura estructural en SPY, QQQ, GOOGL y TSLA con dos cautelas activas — el Net GEX absoluto está sesgado por la ausencia del lado ITM descartado (R1), y el modo DEALER de la VEX Matrix no debe usarse hasta retirar el abs() de la vanna (R2). Scores: Teoría 8, Implementación 7, Precisión 6, Robustez 6, Utilidad operativa 7 (desde 6/4/3/3/5).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Auditoría GEX/VEX v2 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3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C4A7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2026-06-12T15:19:17.116Z</dcterms:created>
  <dcterms:modified xsi:type="dcterms:W3CDTF">2026-06-12T15:19:17.132Z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