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2"/>
          <w:szCs w:val="52"/>
        </w:rPr>
        <w:t xml:space="preserve">AUDITORÍA CUANTITATIVA</w:t>
      </w:r>
    </w:p>
    <w:p>
      <w:pPr>
        <w:spacing w:after="200"/>
        <w:jc w:val="center"/>
      </w:pPr>
      <w:r>
        <w:rPr>
          <w:b/>
          <w:bCs/>
          <w:color w:val="1F3354"/>
          <w:sz w:val="36"/>
          <w:szCs w:val="36"/>
        </w:rPr>
        <w:t xml:space="preserve">Motor GEX / VEX / Dealer Analysis</w:t>
      </w:r>
    </w:p>
    <w:p>
      <w:pPr>
        <w:spacing w:after="100"/>
        <w:jc w:val="center"/>
      </w:pPr>
      <w:r>
        <w:rPr>
          <w:i/>
          <w:iCs/>
          <w:sz w:val="22"/>
          <w:szCs w:val="22"/>
        </w:rPr>
        <w:t xml:space="preserve">EXPOSURE Dashboard — gexvex.dapintegratedsolutions.com</w:t>
      </w:r>
    </w:p>
    <w:p>
      <w:pPr>
        <w:spacing w:after="2000"/>
        <w:jc w:val="center"/>
      </w:pPr>
      <w:r>
        <w:rPr>
          <w:sz w:val="22"/>
          <w:szCs w:val="22"/>
        </w:rPr>
        <w:t xml:space="preserve">Fecha de auditoría: 11 de junio de 2026</w:t>
      </w:r>
    </w:p>
    <w:p>
      <w:pPr>
        <w:spacing w:after="120"/>
      </w:pPr>
      <w:r>
        <w:t xml:space="preserve">Alcance: documentación funcional (Dealer Analysis.docx, Manual de Interpretación.docx), código fuente completo (backend FastAPI, API routes Next.js, frontend page.tsx / GammaMatrix.tsx, scripts de Unusual Whales y dealer-builder.js) y deploy en producción. Metodología: revisión línea por línea de las fórmulas, contraste con teoría Black-Scholes y con las convenciones públicas de SpotGamma, SqueezeMetrics, Tier1Alpha y GammaEdge, validación numérica independiente (7 tests reproducibles, archivo validacion_auditoria.py) y captura de datos en vivo del API en producción para SPY, QQQ, NVDA, TSLA y GOOGL en 0DTE, 1DTE y 7DTE.</w:t>
      </w:r>
    </w:p>
    <w:p>
      <w:r>
        <w:br w:type="page"/>
      </w:r>
    </w:p>
    <w:p>
      <w:pPr>
        <w:pStyle w:val="Heading1"/>
      </w:pPr>
      <w:r>
        <w:t xml:space="preserve">1. Resumen ejecutivo</w:t>
      </w:r>
    </w:p>
    <w:p>
      <w:pPr>
        <w:spacing w:after="120"/>
      </w:pPr>
      <w:r>
        <w:t xml:space="preserve">El sistema tiene un marco conceptual defendible y honesto (exposición estructural, King Node, escenarios como rutas y no como targets), y la magnitud del GEX crudo coincide con la convención estándar de la industria (dólares de cobertura por movimiento de 1% del subyacente). Sin embargo, la auditoría encontró errores matemáticos y de datos que invalidan varias de las salidas tal como se muestran hoy. El modelo no debe usarse para decisiones operativas hasta corregir los hallazgos críticos.</w:t>
      </w:r>
    </w:p>
    <w:p>
      <w:pPr>
        <w:spacing w:after="120"/>
      </w:pPr>
      <w:r>
        <w:rPr>
          <w:b/>
          <w:bCs/>
        </w:rPr>
        <w:t xml:space="preserve">Los cinco problemas de mayor impacto son:</w:t>
      </w:r>
    </w:p>
    <w:p>
      <w:pPr>
        <w:pStyle w:val="ListParagraph"/>
        <w:numPr>
          <w:ilvl w:val="0"/>
          <w:numId w:val="2"/>
        </w:numPr>
        <w:spacing w:after="60"/>
      </w:pPr>
      <w:r>
        <w:rPr>
          <w:b/>
          <w:bCs/>
        </w:rPr>
        <w:t xml:space="preserve">1. El “VEX” no es VEX ni vanna correcta. </w:t>
      </w:r>
      <w:r>
        <w:t xml:space="preserve">La fórmula implementada (vanna = −vega·d2/(S·σ)) tiene un factor √T de más. Verificado contra diferencias finitas: en 0DTE el valor se subestima ~27× y en expiraciones largas casi nada, de modo que toda comparación de VEX entre vencimientos (la VEX Matrix) está distorsionada sistemáticamente.</w:t>
      </w:r>
    </w:p>
    <w:p>
      <w:pPr>
        <w:pStyle w:val="ListParagraph"/>
        <w:numPr>
          <w:ilvl w:val="0"/>
          <w:numId w:val="2"/>
        </w:numPr>
        <w:spacing w:after="60"/>
      </w:pPr>
      <w:r>
        <w:rPr>
          <w:b/>
          <w:bCs/>
        </w:rPr>
        <w:t xml:space="preserve">2. El modo DEALER invierte el signo de las calls. </w:t>
      </w:r>
      <w:r>
        <w:t xml:space="preserve">dealerGex = rawGex × bias aplica el sesgo del cliente sin invertirlo para el dealer. Para puts el doble negativo lo salva; para calls el resultado queda con el signo contrario al correcto en el 100% de los casos con dato UW. Además, los strikes sin dato UW usan bias=1 (equivale a RAW), mezclando dos convenciones incompatibles en el mismo agregado.</w:t>
      </w:r>
    </w:p>
    <w:p>
      <w:pPr>
        <w:pStyle w:val="ListParagraph"/>
        <w:numPr>
          <w:ilvl w:val="0"/>
          <w:numId w:val="2"/>
        </w:numPr>
        <w:spacing w:after="60"/>
      </w:pPr>
      <w:r>
        <w:rPr>
          <w:b/>
          <w:bCs/>
        </w:rPr>
        <w:t xml:space="preserve">3. La IV de Yahoo entra sin sanitizar y corrompe el mapa. </w:t>
      </w:r>
      <w:r>
        <w:t xml:space="preserve">En producción, todo el lado ITM de calls llega con IV=0.00001 → gamma 0 → GEX 0 (verificado en NVDA, QQQ y GOOGL). En QQQ 0DTE el propio King Node (718) es un artefacto de una IV corrupta de 1.2%. La gamma de call y put al mismo strike difiere hasta 2.6× cuando teóricamente debe ser idéntica.</w:t>
      </w:r>
    </w:p>
    <w:p>
      <w:pPr>
        <w:pStyle w:val="ListParagraph"/>
        <w:numPr>
          <w:ilvl w:val="0"/>
          <w:numId w:val="2"/>
        </w:numPr>
        <w:spacing w:after="60"/>
      </w:pPr>
      <w:r>
        <w:rPr>
          <w:b/>
          <w:bCs/>
        </w:rPr>
        <w:t xml:space="preserve">4. Escenarios y soportes/resistencias usan umbrales en puntos absolutos. </w:t>
      </w:r>
      <w:r>
        <w:t xml:space="preserve">Las reglas ≤ 3 pts, gap &gt; 1 pt y spot ± 5 pts sólo funcionan en grids de $1 (SPY/QQQ). En NVDA/TSLA/GOOGL (spacing 2.5–5) la “absorción hasta X” es estructuralmente imposible y los “vacíos” detectados son ruido del grid. Además S1–S3 exigen GEX &gt; 0, lo que excluye precisamente los soportes dominados por puts.</w:t>
      </w:r>
    </w:p>
    <w:p>
      <w:pPr>
        <w:pStyle w:val="ListParagraph"/>
        <w:numPr>
          <w:ilvl w:val="0"/>
          <w:numId w:val="2"/>
        </w:numPr>
        <w:spacing w:after="60"/>
      </w:pPr>
      <w:r>
        <w:rPr>
          <w:b/>
          <w:bCs/>
        </w:rPr>
        <w:t xml:space="preserve">5. El Gamma Flip devuelve el primer cruce desde 0.8×spot, no el relevante. </w:t>
      </w:r>
      <w:r>
        <w:t xml:space="preserve">En vivo: GOOGL flip = 289.2 con spot 358 (−19%), SPY flip = 679.4 con spot 739 (−8%). Con perfiles multi-cruce el nivel publicado puede no ser el que gobierna el régimen actual.</w:t>
      </w:r>
    </w:p>
    <w:p>
      <w:pPr>
        <w:spacing w:after="120"/>
      </w:pPr>
      <w:r>
        <w:t xml:space="preserve">En síntesis: la capa de interpretación (dominancia, sesgo, riesgo, mapa) está construida sobre números cuyo error domina a la señal en 0DTE y en tickers de strike ancho. Las correcciones son acotadas y bien definidas (ver sección 8 y propuesta V2): sanitización de IV con paridad call/put, fórmula de vanna correcta, inversión del signo dealer, parámetros relativos al grid de strikes y persistencia server-side. Con ellas el motor queda alineado con la práctica de SpotGamma/SqueezeMetrics y la salida pasa a ser operativamente confiable.</w:t>
      </w:r>
    </w:p>
    <w:p>
      <w:r>
        <w:br w:type="page"/>
      </w:r>
    </w:p>
    <w:p>
      <w:pPr>
        <w:pStyle w:val="Heading1"/>
      </w:pPr>
      <w:r>
        <w:t xml:space="preserve">2. Métricas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Dimensión</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Score</w:t>
            </w:r>
          </w:p>
        </w:tc>
        <w:tc>
          <w:tcPr>
            <w:tcW w:type="dxa" w:w="60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Justificación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Teoría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Marco estructural razonable y documentación honesta sobre sus límites. Penaliza: VEX definido como sensibilidad a IV pero implementado como vanna; riesgo estructural aditivo que mezcla dimensiones; modo DEALER conceptualmente mal derivado.</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Implementación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Errores verificados: factor √T en vanna, signo invertido en calls (modo DEALER), heurística IV&gt;1→/100 que destruye IVs legítimas, triple duplicación de la lógica (Python, route TS, frontend) con r y T inconsistentes, valores hardcodeados de demo en producción.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Precisión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 IV de Yahoo sin filtrar anula el lado ITM completo y fabrica King Nodes (QQQ 718). Gamma call≠put al mismo strike (hasta 2.6×). Flip por primer cruce. En 0DTE el error de datos supera a la señal.</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Robustez</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Las métricas dependen del control de UI (Window ±10/±20/±30), la persistencia vive en localStorage del navegador (máx. 5 snapshots), sin EMA ni decay, API sin caché con timeouts &gt;180 s observados en producción.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Utilidad operativa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mapa GEX RAW por strike, el King Node y el Net GEX en SPY/QQQ con vencimientos ≥1DTE sí aportan lectura comparable a herramientas comerciales. El modo DEALER, la VEX Matrix, los escenarios en tickers de strike ancho y el score de riesgo no son confiables hoy.</w:t>
            </w:r>
          </w:p>
        </w:tc>
      </w:tr>
    </w:tbl>
    <w:p>
      <w:r>
        <w:br w:type="page"/>
      </w:r>
    </w:p>
    <w:p>
      <w:pPr>
        <w:pStyle w:val="Heading1"/>
      </w:pPr>
      <w:r>
        <w:t xml:space="preserve">3. Hallazgos críticos</w:t>
      </w:r>
    </w:p>
    <w:p>
      <w:pPr>
        <w:spacing w:after="120"/>
      </w:pPr>
      <w:r>
        <w:t xml:space="preserve">Severidad: CRÍTICA = la salida mostrada es incorrecta o de signo/escala errónea. ALTA = distorsión material en casos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00"/>
        <w:gridCol w:w="2130"/>
        <w:gridCol w:w="2130"/>
      </w:tblGrid>
      <w:tr>
        <w:trPr>
          <w:tblHeader/>
        </w:trPr>
        <w:tc>
          <w:tcPr>
            <w:tcW w:type="dxa" w:w="7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ID</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Severidad</w:t>
            </w:r>
          </w:p>
        </w:tc>
        <w:tc>
          <w:tcPr>
            <w:tcW w:type="dxa" w:w="3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Hallazgo</w:t>
            </w:r>
          </w:p>
        </w:tc>
        <w:tc>
          <w:tcPr>
            <w:tcW w:type="dxa" w:w="213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Impacto</w:t>
            </w:r>
          </w:p>
        </w:tc>
        <w:tc>
          <w:tcPr>
            <w:tcW w:type="dxa" w:w="213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Corrección</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vanna con factor √T extra: vanna = −vega·d2/(S·σ) con vega = S·φ(d1)·√T. La correcta es −φ(d1)·d2/σ (equivale a −vega·d2/(S·σ·√T)). Verificado vs diferencia finita ∂Δ/∂σ (Test 1).</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VEX subestimado √T×: ~27× en 0DTE, ~3.5× a 30d. La VEX Matrix sobrepondera vencimientos largos; “Presión VEX/GEX ≈ 0%” es en parte este bug.</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Usar vanna = −φ(d1)·d2/σ en las 5 ubicaciones donde se calcula (page.tsx ×4, GammaMatrix.tsx).</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dealerGex = rawGex × bias, con raw call = +γ·OI·S² y bias = posicionamiento del CLIENTE. El dealer toma la posición opuesta: dealer GEX = −bias·γ·OI·S² para ambos tipos. En calls el resultado queda invertido (Test 2: 4 casos, 2 fallan).</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Toda celda call en modo DEALER con dato UW tiene el signo contrario. King, sesgo, escenarios y S/R derivados en modo DEALER quedan contaminados.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dealerGex = −bias × γ × OI × S² (γ siempre &gt;0). Aplicar igual a VEX/vanna.</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mezcla convenciones: contratos sin dato UW usan bias = 1, es decir conservan el supuesto RAW (call +, put −), junto a contratos escalados por flujo real del cliente.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agregado suma magnitudes con dos definiciones distintas de “dealer”. Con cobertura UW de pocos contratos, el modo DEALER ≈ RAW con celdas sueltas alteradas: incoherente.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Default por tipo cuando no hay dato: bias_put = +1, bias_call = −1 (cliente largo puts / corto calls, supuesto SqueezeMetrics), y marcar visualmente qué celdas tienen dato real.</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IV de Yahoo sin sanitizar. En producción: NVDA 0DTE calls ITM (50–202.5) todas con IV=1e-5 → GEX=0; GOOGL 7DTE calls ITM (5–335) ídem; QQQ 0DTE King=718 con IV call=1.18% (gamma 0.645 artificial); SPY strike 739: γ call 0.131 vs γ put 0.058 (deben ser iguales).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perfil ITM desaparece, el Net GEX queda sesgado al alza por el lado put, el King puede ser un artefacto y el flip se desplaza. El error de datos domina la señal en 0DTE.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Descartar IV fuera de [3%, 400%], re-derivar IV desde mid-price (Brent/Newton), y usar UNA gamma por strike: IV del contrato OTM (paridad call/put). Filtrar bid=0 sin OI.</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Heurística frontend sigma&gt;1 → sigma/100. IVs legítimas &gt;100% (alas 0DTE: NVDA puts 137–575%) se convierten en 1.4–5.8%. El backend no aplica esta división.</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Vanna/VEX absurdos en alas; Chain (backend) y Matrix/Análisis (frontend) muestran valores distintos para el mismo contrato.</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Eliminar la heurística (yahoo-finance2 ya entrega decimal) y sanitizar por rango en un único módulo compartido.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Escenarios y S/R con umbrales en puntos absolutos: cadena de absorción ≤ 3 pts, “vacío” si gap &gt; 1 pt, inclusión near-spot ± 5 pts, fallback trigger − 5. Sólo válido en grid $1 (Test 4). Además S1–S3 y R1–R3 exigen gex &gt; 0: excluyen soportes put-dominados (GEX negativo bajo la convención usada).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 NVDA/TSLA/GOOGL la “absorción hasta X” nunca se forma, los vacíos son ruido del grid y los soportes reales por puts no aparecen en ZONAS. ±5 pts = ±0.7% en SPY pero ±2.4% en NVDA: criterios no comparables entre tickers.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Expresar todo en pasos de strike del grid y/o % del spot. Para S/R: rankear por |GEX| con rol según signo (positivo = absorción/pin; negativo = aceleración), sin filtrar por signo.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 barrido de 0.8×spot a 1.2×spot que retorna el PRIMER cruce, no el más cercano al spot (Test 5). Evidencia en vivo: GOOGL flip 289.2 / spot 358 (−19%); SPY flip 679.4 / spot 739 (−8%).</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 perfiles multi-cruce (frecuentes cuando el lado ITM está corrupto, C4) el nivel publicado no es el que separa el régimen actual de gamma.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Detectar todos los cruces y reportar el más cercano al spot (o todos). Recalcular tras sanitizar IV.</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Presión VEX/GEX compara unidades incompatibles: vanna·OI·S (por punto de vol) vs γ·OI·S² (por 1% de spot), y además con la vanna del bug C1. El ratio no tiene significado económico; los umbrales 10%/30% son arbitrarios.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 lectura “Precio domina / Vol domina” no se sostiene cuantitativamente; con C1, casi siempre marca “Precio domina”.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Normalizar ambos a dólares por escenario: GEX$ por movimiento de 1% y Vanna$ por 1 punto de vol; documentar el umbral con datos históricos.</w:t>
            </w:r>
          </w:p>
        </w:tc>
      </w:tr>
    </w:tbl>
    <w:p>
      <w:r>
        <w:br w:type="page"/>
      </w:r>
    </w:p>
    <w:p>
      <w:pPr>
        <w:pStyle w:val="Heading1"/>
      </w:pPr>
      <w:r>
        <w:t xml:space="preserve">4. Auditoría matemática — 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Componente</w:t>
            </w:r>
          </w:p>
        </w:tc>
        <w:tc>
          <w:tcPr>
            <w:tcW w:type="dxa" w:w="15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Veredicto</w:t>
            </w:r>
          </w:p>
        </w:tc>
        <w:tc>
          <w:tcPr>
            <w:tcW w:type="dxa" w:w="57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Análisis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y multiplicador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GEX = γ·OI·S². Numéricamente idéntico a la convención SpotGamma γ·OI·100·S·(0.01·S): dólares de delta-hedge por movimiento de 1%. *El dashboard lo etiqueta “$” sin documentar la convención; debería decir “$ por 1% move”.</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call/put (RAW)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 +, put − replica el supuesto clásico SqueezeMetrics (dealer largo calls, corto puts). Aceptable como base y comparable con la industria, pero el doc no lo declara, y el modo DEALER que debía refinarlo lo rompe (C2/C3).</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Black-Scholes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γ correcta, pero: sin dividendos (q≈1.1% SPY, sesgo menor en d1); r inconsistente (4.5% backend vs 5% frontend); el insumo IV es el problema dominante (C4/C5).</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OI vs Volumen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Usa OI, estándar para exposición estructural. Limitación conocida: el OI de Yahoo es del cierre anterior; para 0DTE la práctica (SpotGamma combo) complementa con volumen intradía. Mejora, no error.</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Tratamiento de expiraciones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 con floor de 0.5 días en backend/page pero 0.0001 años en Matrix (3 convenciones distintas); expiración tratada como medianoche UTC en lugar de 16:00 ET (para 0DTE el error de T es ~2× en gamma ATM). DTE display correcto.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Agregación cross-strike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Suma neta por strike call+put, estándar. En modo MULTI suma expiraciones sin ponderación temporal (igual que la mayoría de los proveedores; opcionalmente ponderar por 1/√T).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Normalización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Dominancia, sesgo, densidad y riesgo se calculan sobre los strikes visibles según el control de UI (Window ±10/±20/±30/Full) y el filtro ≥10% del máximo. La misma estructura da dominancias distintas según el zoom: las métricas no son invariantes. El Manual define dominancia sobre Σ|todos los nodos|; el código usa sólo visibles.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Spot weighting</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S² aplica el peso correcto del spot en términos de dólares por 1%.</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negativa / Net GEX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neto call−put y su lectura (absorbente vs reactivo) son consistentes con la literatura de dealer gamma, condicionado a que el supuesto de posicionamiento sea el declarado.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King Node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argmax(|GEX|) por strike es una definición razonable (≈ “Absolute Gamma Strike” de SpotGamma). Pero con C4, el King puede ser un artefacto de IV corrupta (QQQ 0DTE: King 718 con IV 1.2%). Sin sanitización, no es confiable en 0DTE.</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 C7: primer cruce en lugar del más cercano al spot; perfil recalculado con IV constante por strike (sticky-strike implícito, aceptable) pero sobre datos corruptos. GOOGL en vivo: flip −19% del spot.</w:t>
            </w:r>
          </w:p>
        </w:tc>
      </w:tr>
    </w:tbl>
    <w:p>
      <w:r>
        <w:br w:type="page"/>
      </w:r>
    </w:p>
    <w:p>
      <w:pPr>
        <w:pStyle w:val="Heading1"/>
      </w:pPr>
      <w:r>
        <w:t xml:space="preserve">5. Auditoría matemática — VEX</w:t>
      </w:r>
    </w:p>
    <w:p>
      <w:pPr>
        <w:spacing w:after="120"/>
      </w:pPr>
      <w:r>
        <w:t xml:space="preserve">Definición usada: el sistema llama VEX a vanna·OI·S. Eso no es Vega Exposure (vega·OI, sensibilidad del valor a IV) sino exposición a vanna (cambio del delta del dealer cuando se mueve la IV, es decir flujo de cobertura inducido por vol). Conceptualmente la elección es defendible —es lo que SpotGamma comercializa como “vanna exposure” y suele ser más operativo que vega— pero el Manual lo describe como “sensibilidad agregada a IV”, que corresponde a vega. Hay que renombrar o re-derivar.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Componente</w:t>
            </w:r>
          </w:p>
        </w:tc>
        <w:tc>
          <w:tcPr>
            <w:tcW w:type="dxa" w:w="15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Veredicto</w:t>
            </w:r>
          </w:p>
        </w:tc>
        <w:tc>
          <w:tcPr>
            <w:tcW w:type="dxa" w:w="57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Análisis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vanna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Factor √T extra (C1). Ratio medido sistema/correcto = √T exactamente: 0.037 en 0DTE, 0.074 en 2DTE, 0.287 a 30d, 0.702 a 180d (Test 1 vs diferencias finitas).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¿Representa sensibilidad de IV?</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Representa (mal escalado) el flujo delta inducido por IV, no la sensibilidad del valor a IV. Ambas son útiles; deben reportarse separadas: VannaEx y VegaEx.</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por tipo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 RAW, calls y puts suman vanna con el mismo signo, mientras GEX usa call +/put −. Las dos matrices asumen posicionamientos dealer contradictorios. Bajo el supuesto clásico: dealer vanna = +vanna_call − vanna_put.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Agregación entre strikes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Suma por strike correcta una vez corregidos fórmula y signo.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Ponderación temporal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Sin ponderación explícita, y el bug √T introduce una ponderación implícita perversa: una opción a 180d aparece ~19× más “vanna-pesada” que una 0DTE idéntica. La VEX Matrix multi-expiración es hoy inutilizable para comparar columnas.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Comparación con GEX (Presión)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Unidades incompatibles (C8).</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¿Señal o ruido?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Veredicto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 la fórmula corregida, signo dealer coherente y normalización por punto de vol, la vanna agregada SÍ aporta señal real (rallies de vol-crush, pin pre-OPEX, flujos charm/vanna EOD). Tal como está implementada hoy: ruido con apariencia de precisión.</w:t>
            </w:r>
          </w:p>
        </w:tc>
      </w:tr>
    </w:tbl>
    <w:p>
      <w:r>
        <w:br w:type="page"/>
      </w:r>
    </w:p>
    <w:p>
      <w:pPr>
        <w:pStyle w:val="Heading1"/>
      </w:pPr>
      <w:r>
        <w:t xml:space="preserve">6. Dealer Analysis — módulo por módulo</w:t>
      </w:r>
    </w:p>
    <w:p>
      <w:pPr>
        <w:pStyle w:val="Heading2"/>
      </w:pPr>
      <w:r>
        <w:t xml:space="preserve">6.1 Dominancia (King)</w:t>
      </w:r>
    </w:p>
    <w:p>
      <w:pPr>
        <w:spacing w:after="120"/>
      </w:pPr>
      <w:r>
        <w:t xml:space="preserve">Definición |King| / Σ|nodos visibles| con cortes 20/40/60. Problemas: (a) el denominador depende del filtro de visibilidad (≥10% del máx) y de la ventana de UI —la métrica cambia con el zoom, no con el mercado—; (b) contradice al Manual (Σ todos los nodos); (c) los umbrales son razonables como heurística pero no están calibrados; (d) con C4, el numerador puede ser un artefacto. ¿Representa absorción real? No: mide concentración del libro, no capacidad de absorción (eso requiere signo + profundidad). La etiqueta “Frágil” &gt;60% es conceptualmente buena (dependencia mononodal).</w:t>
      </w:r>
    </w:p>
    <w:p>
      <w:pPr>
        <w:pStyle w:val="Heading2"/>
      </w:pPr>
      <w:r>
        <w:t xml:space="preserve">6.2 Relación Spot/King</w:t>
      </w:r>
    </w:p>
    <w:p>
      <w:pPr>
        <w:spacing w:after="120"/>
      </w:pPr>
      <w:r>
        <w:t xml:space="preserve">Usa distancia absoluta en puntos con cortes fijos (≤3 Cerca, ≤8 Media). Sin normalización: 3 puntos es 0.4% en SPY y 1.5% en NVDA. Debe expresarse en % del spot, en pasos de strike, o relativo a la vol diaria implícita (straddle ATM). La dirección del desacople (spot arriba/abajo del King) se muestra pero no se usa en la interpretación, perdiendo información útil.</w:t>
      </w:r>
    </w:p>
    <w:p>
      <w:pPr>
        <w:pStyle w:val="Heading2"/>
      </w:pPr>
      <w:r>
        <w:t xml:space="preserve">6.3 Sesgo estructural</w:t>
      </w:r>
    </w:p>
    <w:p>
      <w:pPr>
        <w:spacing w:after="120"/>
      </w:pPr>
      <w:r>
        <w:t xml:space="preserve">(ΣGEX⁺ − Σ|GEX⁻|)/Σ|GEX| sobre visibles. Responde a la pregunta del brief: mide composición/concentración de signo (balance call/put del OI con el supuesto RAW), no dirección del precio. El Manual lo aclara correctamente (“asimetría, no bullish/bearish”). Bugs: la etiqueta “Dominante” se asigna a |sesgo|&gt;50% perdiendo el signo (+60% y −60% reciben la misma etiqueta); el rango ±(50,∞) queda sin distinción direccional. Y de nuevo: denominador dependiente de la ventana.</w:t>
      </w:r>
    </w:p>
    <w:p>
      <w:pPr>
        <w:pStyle w:val="Heading2"/>
      </w:pPr>
      <w:r>
        <w:t xml:space="preserve">6.4 Presión VEX/GEX</w:t>
      </w:r>
    </w:p>
    <w:p>
      <w:pPr>
        <w:spacing w:after="120"/>
      </w:pPr>
      <w:r>
        <w:t xml:space="preserve">Sin significado económico tal como está (C8 + C1). Métrica mejor: Vanna$ por punto de vol / GEX$ por 1% de move, ambos en dólares de cobertura; o directamente reportar el “delta inducido por +1 vol pt” en contratos equivalentes de futuro/ETF, que es accionable.</w:t>
      </w:r>
    </w:p>
    <w:p>
      <w:pPr>
        <w:pStyle w:val="Heading2"/>
      </w:pPr>
      <w:r>
        <w:t xml:space="preserve">6.5 Riesgo estructural</w:t>
      </w:r>
    </w:p>
    <w:p>
      <w:pPr>
        <w:spacing w:after="120"/>
      </w:pPr>
      <w:r>
        <w:t xml:space="preserve">Score = 0.45·dominancia + 0.30·|sesgo| + 0.20·proximidad + 0.05·persistencia. Respuestas al brief: mezcla dimensiones incompatibles (concentración, asimetría de signo, distancia y tiempo) en una suma lineal con pesos arbitrarios; sobreestima riesgo cuando el spot está cerca de un King grande y positivo (que es justamente el escenario de pin, el de MENOR movimiento esperado) porque proximidad y dominancia suman riesgo sin considerar el signo del King; subestima riesgo en estructuras gamma-negativas distribuidas. La proximidad se normaliza por el ancho de la ventana visible (depende de la UI).</w:t>
      </w:r>
    </w:p>
    <w:p>
      <w:pPr>
        <w:spacing w:after="120"/>
      </w:pPr>
      <w:r>
        <w:t xml:space="preserve">Fórmula alternativa propuesta (multiplicativa, con signo):</w:t>
      </w:r>
    </w:p>
    <w:p>
      <w:pPr>
        <w:shd w:fill="F4F4F4" w:val="clear"/>
        <w:spacing w:after="20"/>
      </w:pPr>
      <w:r>
        <w:rPr>
          <w:rFonts w:ascii="Consolas" w:cs="Consolas" w:eastAsia="Consolas" w:hAnsi="Consolas"/>
          <w:sz w:val="17"/>
          <w:szCs w:val="17"/>
        </w:rPr>
        <w:t xml:space="preserve">fragilidad   = dominancia_full_chain            # 0-1, sobre toda la cadena</w:t>
      </w:r>
    </w:p>
    <w:p>
      <w:pPr>
        <w:shd w:fill="F4F4F4" w:val="clear"/>
        <w:spacing w:after="20"/>
      </w:pPr>
      <w:r>
        <w:rPr>
          <w:rFonts w:ascii="Consolas" w:cs="Consolas" w:eastAsia="Consolas" w:hAnsi="Consolas"/>
          <w:sz w:val="17"/>
          <w:szCs w:val="17"/>
        </w:rPr>
        <w:t xml:space="preserve">reactividad  = max(0, -netGEX) / Σ|GEX|         # solo gamma negativa neta genera riesgo de aceleración</w:t>
      </w:r>
    </w:p>
    <w:p>
      <w:pPr>
        <w:shd w:fill="F4F4F4" w:val="clear"/>
        <w:spacing w:after="20"/>
      </w:pPr>
      <w:r>
        <w:rPr>
          <w:rFonts w:ascii="Consolas" w:cs="Consolas" w:eastAsia="Consolas" w:hAnsi="Consolas"/>
          <w:sz w:val="17"/>
          <w:szCs w:val="17"/>
        </w:rPr>
        <w:t xml:space="preserve">proximidad   = exp(-|spot-king| / straddleATM)  # escala por movimiento esperado, no por UI</w:t>
      </w:r>
    </w:p>
    <w:p>
      <w:pPr>
        <w:shd w:fill="F4F4F4" w:val="clear"/>
        <w:spacing w:after="20"/>
      </w:pPr>
      <w:r>
        <w:rPr>
          <w:rFonts w:ascii="Consolas" w:cs="Consolas" w:eastAsia="Consolas" w:hAnsi="Consolas"/>
          <w:sz w:val="17"/>
          <w:szCs w:val="17"/>
        </w:rPr>
        <w:t xml:space="preserve">inestabilidad= 1 - persistencia_EMA             # serie temporal server-side</w:t>
      </w:r>
    </w:p>
    <w:p>
      <w:pPr>
        <w:shd w:fill="F4F4F4" w:val="clear"/>
        <w:spacing w:after="20"/>
      </w:pPr>
      <w:r>
        <w:rPr>
          <w:rFonts w:ascii="Consolas" w:cs="Consolas" w:eastAsia="Consolas" w:hAnsi="Consolas"/>
          <w:sz w:val="17"/>
          <w:szCs w:val="17"/>
        </w:rPr>
        <w:t xml:space="preserve">riesgo = 1 - (1-fragilidad·reactividad) · (1-inestabilidad·proximidad)</w:t>
      </w:r>
    </w:p>
    <w:p>
      <w:pPr>
        <w:shd w:fill="F4F4F4" w:val="clear"/>
        <w:spacing w:after="20"/>
      </w:pPr>
      <w:r>
        <w:rPr>
          <w:rFonts w:ascii="Consolas" w:cs="Consolas" w:eastAsia="Consolas" w:hAnsi="Consolas"/>
          <w:sz w:val="17"/>
          <w:szCs w:val="17"/>
        </w:rPr>
        <w:t xml:space="preserve"># Si netGEX&gt;0 y spot≈king: riesgo BAJO (pin), no alto.</w:t>
      </w:r>
    </w:p>
    <w:p>
      <w:pPr>
        <w:pStyle w:val="Heading2"/>
      </w:pPr>
      <w:r>
        <w:t xml:space="preserve">6.6 Persistencia</w:t>
      </w:r>
    </w:p>
    <w:p>
      <w:pPr>
        <w:spacing w:after="120"/>
      </w:pPr>
      <w:r>
        <w:t xml:space="preserve">Snapshots en localStorage (máx. 5, escritos como efecto colateral dentro de un useMemo —en React StrictMode se ejecuta doble y contamina la serie—), por navegador y solo mientras la pestaña está abierta. ¿Es válido usar snapshots? El concepto sí; esta implementación no: no es una serie temporal, es la memoria de la sesión del usuario. Recomendado: registrar King/Net/spot server-side cada N minutos y derivar persistencia = EMA de 1{King_t = King_t-1} con half-life de 30–60 min, más un decay que descuente snapshots viejos. Los cortes 3/10 snapshots pasan a definirse en minutos.</w:t>
      </w:r>
    </w:p>
    <w:p>
      <w:pPr>
        <w:pStyle w:val="Heading2"/>
      </w:pPr>
      <w:r>
        <w:t xml:space="preserve">6.7 Escenarios</w:t>
      </w:r>
    </w:p>
    <w:p>
      <w:pPr>
        <w:spacing w:after="120"/>
      </w:pPr>
      <w:r>
        <w:t xml:space="preserve">¿Correctamente derivados? Parcialmente en SPY/QQQ, no en el resto (C6). El escenario superior selecciona solo nodos GEX&gt;0 consecutivos: bajo la convención call+/put−, encima del spot casi todo es call-dominado y positivo, así que “absorción” arriba es casi tautológica; y el inferior busca “vacíos” con un umbral de 1 punto que en grids de 2.5/5 marca vacío entre cada par de strikes. ¿Confunden soporte con objetivo? La documentación lo maneja bien (rutas, no targets); el riesgo está en el texto “Absorción hasta X” que sí sugiere objetivo. ¿Respetan estructura dealer? Solo si el signo de los nodos es confiable, lo que hoy no se cumple (C2/C4).</w:t>
      </w:r>
    </w:p>
    <w:p>
      <w:pPr>
        <w:pStyle w:val="Heading2"/>
      </w:pPr>
      <w:r>
        <w:t xml:space="preserve">6.8 Soportes y resistencias (Zonas)</w:t>
      </w:r>
    </w:p>
    <w:p>
      <w:pPr>
        <w:spacing w:after="120"/>
      </w:pPr>
      <w:r>
        <w:t xml:space="preserve">Selección actual: top-3 por |GEX| arriba/abajo del spot, excluyendo King, exigiendo GEX&gt;0 y peso ≥1% del King. Dos fallas: exigir GEX&gt;0 elimina los muros de puts (los soportes clásicos del mercado real); y ordenar por magnitud pura puede poner R1 a 20 puntos cuando hay un nodo relevante a 2. Ranking propuesto: score = |GEX_strike| × exp(−dist/straddleATM) × persistencia_strike, etiquetando cada nivel por su rol según signo (positivo → absorción/pin; negativo → nivel de aceleración si se pierde), sin filtro de signo.</w:t>
      </w:r>
    </w:p>
    <w:p>
      <w:pPr>
        <w:pStyle w:val="Heading2"/>
      </w:pPr>
      <w:r>
        <w:t xml:space="preserve">6.9 Mapa estructural</w:t>
      </w:r>
    </w:p>
    <w:p>
      <w:pPr>
        <w:spacing w:after="120"/>
      </w:pPr>
      <w:r>
        <w:t xml:space="preserve">Densidad (% de strikes visibles en el rango) y compresión (ancho entre el primer nodo fuerte arriba y abajo) son métricas visuales del estado del filtro, no del mercado: dependen del umbral 10%, de la ventana de UI y del grid del ticker. La absorción (top-3 vs King) sí tiene contenido real pero hereda el problema del denominador. Para que sean métricas reales: densidad = entropía o Herfindahl de la distribución de |GEX| sobre TODOS los strikes (invariante al zoom); compresión = distancia entre nodos fuertes en unidades de straddle ATM.</w:t>
      </w:r>
    </w:p>
    <w:p>
      <w:r>
        <w:br w:type="page"/>
      </w:r>
    </w:p>
    <w:p>
      <w:pPr>
        <w:pStyle w:val="Heading1"/>
      </w:pPr>
      <w:r>
        <w:t xml:space="preserve">7. Pipeline de datos y estimador dealer (Unusual Whales)</w:t>
      </w:r>
    </w:p>
    <w:p>
      <w:pPr>
        <w:pStyle w:val="Heading2"/>
      </w:pPr>
      <w:r>
        <w:t xml:space="preserve">7.1 Estimador buy/sell de dealer-builder.js</w:t>
      </w:r>
    </w:p>
    <w:p>
      <w:pPr>
        <w:spacing w:after="120"/>
      </w:pPr>
      <w:r>
        <w:t xml:space="preserve">El método (atribuir ΔOI diario por color/bidAsk del día y clampear a 0) es una aproximación razonable de bajo costo, pero tiene tres sesgos estructurales demostrados en el Test 3: (a) dependencia total de trayectoria: el mismo OI final produce bias +1 o −1 según el orden de los flujos; (b) el clamping destruye masa de forma asimétrica e infla el inventario retenido (el propio dealer_math_explanation.txt documenta buy+sell &gt; OI); (c) el OI inicial (día 0) se descarta: en contratos con OI preexistente grande, el bias se estima sólo sobre la cola de cambios. Además, atribuir cierres con el color del día asume que quien cierra es el mismo lado que domina el volumen, supuesto no justificado.</w:t>
      </w:r>
    </w:p>
    <w:p>
      <w:pPr>
        <w:spacing w:after="120"/>
      </w:pPr>
      <w:r>
        <w:t xml:space="preserve">Mejoras: usar bias = (buy−sell)/OI_actual con suelo en vez de clamping por pata; ponderar los ΔOI por recencia (decay exponencial); tratar ΔOI&lt;0 como reducción proporcional del inventario neto (no de cada pata); y arrancar el inventario del día 0 con el prior por tipo (puts +, calls −).</w:t>
      </w:r>
    </w:p>
    <w:p>
      <w:pPr>
        <w:pStyle w:val="Heading2"/>
      </w:pPr>
      <w:r>
        <w:t xml:space="preserve">7.2 Calidad de datos Yahoo</w:t>
      </w:r>
    </w:p>
    <w:p>
      <w:pPr>
        <w:pStyle w:val="ListParagraph"/>
        <w:numPr>
          <w:ilvl w:val="0"/>
          <w:numId w:val="2"/>
        </w:numPr>
        <w:spacing w:after="60"/>
      </w:pPr>
      <w:r>
        <w:rPr>
          <w:b/>
          <w:bCs/>
        </w:rPr>
        <w:t xml:space="preserve">IV corrupta en ITM y alas (C4/C5): </w:t>
      </w:r>
      <w:r>
        <w:t xml:space="preserve">es el defecto dominante del sistema. Yahoo deriva IV del último trade, que en ITM/alas es viejo o cruzado.</w:t>
      </w:r>
    </w:p>
    <w:p>
      <w:pPr>
        <w:pStyle w:val="ListParagraph"/>
        <w:numPr>
          <w:ilvl w:val="0"/>
          <w:numId w:val="2"/>
        </w:numPr>
        <w:spacing w:after="60"/>
      </w:pPr>
      <w:r>
        <w:rPr>
          <w:b/>
          <w:bCs/>
        </w:rPr>
        <w:t xml:space="preserve">OI con 1 día de rezago: </w:t>
      </w:r>
      <w:r>
        <w:t xml:space="preserve">estándar OCC; debe mostrarse “OI as-of” en el dashboard para evitar lecturas intradía erróneas.</w:t>
      </w:r>
    </w:p>
    <w:p>
      <w:pPr>
        <w:pStyle w:val="ListParagraph"/>
        <w:numPr>
          <w:ilvl w:val="0"/>
          <w:numId w:val="2"/>
        </w:numPr>
        <w:spacing w:after="60"/>
      </w:pPr>
      <w:r>
        <w:rPr>
          <w:b/>
          <w:bCs/>
        </w:rPr>
        <w:t xml:space="preserve">Strikes basura sin filtrar: </w:t>
      </w:r>
      <w:r>
        <w:t xml:space="preserve">GOOGL puts 510/550 con bid&gt;190 y OI=0; NVDA put 430 con bid 226. Deben excluirse por reglas de cordura de precio.</w:t>
      </w:r>
    </w:p>
    <w:p>
      <w:pPr>
        <w:pStyle w:val="ListParagraph"/>
        <w:numPr>
          <w:ilvl w:val="0"/>
          <w:numId w:val="2"/>
        </w:numPr>
        <w:spacing w:after="60"/>
      </w:pPr>
      <w:r>
        <w:rPr>
          <w:b/>
          <w:bCs/>
        </w:rPr>
        <w:t xml:space="preserve">Latencia/fragilidad del API: </w:t>
      </w:r>
      <w:r>
        <w:t xml:space="preserve">en producción se observó un timeout &gt;180 s (NVDA) y respuestas de 30–60 s; el modo Matrix dispara 5–10 requests en paralelo sin caché server-side ni rate-limit hacia Yahoo.</w:t>
      </w:r>
    </w:p>
    <w:p>
      <w:r>
        <w:br w:type="page"/>
      </w:r>
    </w:p>
    <w:p>
      <w:pPr>
        <w:pStyle w:val="Heading1"/>
      </w:pPr>
      <w:r>
        <w:t xml:space="preserve">8. Casos de prueba</w:t>
      </w:r>
    </w:p>
    <w:p>
      <w:pPr>
        <w:pStyle w:val="Heading2"/>
      </w:pPr>
      <w:r>
        <w:t xml:space="preserve">8.1 Captura en vivo (producción, 11-jun-2026)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400"/>
        <w:gridCol w:w="3560"/>
      </w:tblGrid>
      <w:tr>
        <w:trPr>
          <w:tblHeader/>
        </w:trPr>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Ticker</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Exp</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Spot</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King</w:t>
            </w:r>
          </w:p>
        </w:tc>
        <w:tc>
          <w:tcPr>
            <w:tcW w:type="dxa" w:w="14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Gamma Flip</w:t>
            </w:r>
          </w:p>
        </w:tc>
        <w:tc>
          <w:tcPr>
            <w:tcW w:type="dxa" w:w="35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Observación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739.19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730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679.4 (−8.1%)</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γ call 0.131 vs γ put 0.058 al mismo strike 739 (paridad violada); call ITM 730 con IV=1e-5 → γ≈0; el King 730 lo define solo el lado put.</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QQQ</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717.59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699.5 (−2.5%)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King = artefacto: call 718 con IV=1.18% → γ=0.645 y GEX=390M ficticios. TODO el lado call ≤717 con IV=1e-5. Net +392M no confiable.</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NVDA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205.01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204.5 (−0.2%)</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Calls ITM 50–202.5 íntegramente a cero; alas put con IV 137–575% que el frontend dividiría por 100 (C5). Grid 2.5/5 rompe la lógica de escenarios (Test 4).</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TSLA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398.87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395.7 (−0.8%)</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Estructura plausible; mismo riesgo de grid 2.5/5 en escenarios y ±5 pts near-spot = ±1.3%.</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GOOGL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358.00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350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289.2 (−19.4%)</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Flip a −19% del spot: primer cruce + lado call ITM (5–335) totalmente anulado por IV=1e-5. Net +8.4M (201M call − 193M put) sesgado por la pérdida del perfil ITM.</w:t>
            </w:r>
          </w:p>
        </w:tc>
      </w:tr>
    </w:tbl>
    <w:p>
      <w:pPr>
        <w:spacing w:after="120"/>
      </w:pPr>
      <w:r>
        <w:t xml:space="preserve">Lectura transversal: 0DTE y +1DTE concentran la corrupción de IV (lado ITM anulado, Kings artificiales); en expiraciones largas la cadena es más sana pero la VEX Matrix la sobrepondera por C1. Los cinco tickers comparten el patrón; el daño escala con el ancho del grid (NVDA/TSLA/GOOGL) y con la cercanía a la expiración.</w:t>
      </w:r>
    </w:p>
    <w:p>
      <w:pPr>
        <w:pStyle w:val="Heading2"/>
      </w:pPr>
      <w:r>
        <w:t xml:space="preserve">8.2 Validación numérica reproducible (validacion_auditoria.py)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Test</w:t>
            </w:r>
          </w:p>
        </w:tc>
        <w:tc>
          <w:tcPr>
            <w:tcW w:type="dxa" w:w="43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Qué valida</w:t>
            </w:r>
          </w:p>
        </w:tc>
        <w:tc>
          <w:tcPr>
            <w:tcW w:type="dxa" w:w="40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Resultado</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Vanna del sistema vs analítica vs diferencia finita ∂Δ/∂σ</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Ratio = √T exacto (0.037 en 0DTE → subestima 27×). CONFIRMA C1.</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dealerGex = raw × bias en 4 escenarios cliente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Calls invertidas en ambos casos; puts correctas. CONFIRMA C2.</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Estimador buy/sell con clamping (caso GOOGL del doc + trayectorias A/B)</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Mismo OI final → bias +1.000 vs −1.000 según orden de flujos. CONFIRMA dependencia de trayectoria.</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Reglas de escenarios sobre grids 1 vs 5 puntos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SPY: cadena [741,742,743]. NVDA: cadena [210] siempre truncada. CONFIRMA C6.</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Barrido de gamma flip con perfil de dos cruces (610, 695; spot 700)</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Devuelve 612.5 en lugar de 695. CONFIRMA C7.</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Magnitud γ·OI·S² vs convención SpotGamma por 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Idénticas (100×0.01=1). La escala del GEX es correcta.</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Heurística IV&gt;1→/100 con IVs reales NVDA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281% → 2.81%; backend y frontend divergen. CONFIRMA C5.</w:t>
            </w:r>
          </w:p>
        </w:tc>
      </w:tr>
    </w:tbl>
    <w:p>
      <w:r>
        <w:br w:type="page"/>
      </w:r>
    </w:p>
    <w:p>
      <w:pPr>
        <w:pStyle w:val="Heading1"/>
      </w:pPr>
      <w:r>
        <w:t xml:space="preserve">9. Hallazgos menores</w:t>
      </w:r>
    </w:p>
    <w:p>
      <w:pPr>
        <w:pStyle w:val="ListParagraph"/>
        <w:numPr>
          <w:ilvl w:val="0"/>
          <w:numId w:val="2"/>
        </w:numPr>
        <w:spacing w:after="60"/>
      </w:pPr>
      <w:r>
        <w:rPr>
          <w:b/>
          <w:bCs/>
        </w:rPr>
        <w:t xml:space="preserve">M1. </w:t>
      </w:r>
      <w:r>
        <w:t xml:space="preserve">Tasa libre de riesgo 4.5% en backend y 5% en frontend; sin dividendos (q) ni forward.</w:t>
      </w:r>
    </w:p>
    <w:p>
      <w:pPr>
        <w:pStyle w:val="ListParagraph"/>
        <w:numPr>
          <w:ilvl w:val="0"/>
          <w:numId w:val="2"/>
        </w:numPr>
        <w:spacing w:after="60"/>
      </w:pPr>
      <w:r>
        <w:rPr>
          <w:b/>
          <w:bCs/>
        </w:rPr>
        <w:t xml:space="preserve">M2. </w:t>
      </w:r>
      <w:r>
        <w:t xml:space="preserve">Tres convenciones de T (floor 0.5 días, floor 0.0001 años, ms hasta medianoche UTC); la expiración real es 16:00 ET.</w:t>
      </w:r>
    </w:p>
    <w:p>
      <w:pPr>
        <w:pStyle w:val="ListParagraph"/>
        <w:numPr>
          <w:ilvl w:val="0"/>
          <w:numId w:val="2"/>
        </w:numPr>
        <w:spacing w:after="60"/>
      </w:pPr>
      <w:r>
        <w:rPr>
          <w:b/>
          <w:bCs/>
        </w:rPr>
        <w:t xml:space="preserve">M3. </w:t>
      </w:r>
      <w:r>
        <w:t xml:space="preserve">Lógica de cálculo duplicada en backend/main.py, api/options/route.ts, page.tsx (×3) y GammaMatrix.tsx: divergencias garantizadas a futuro.</w:t>
      </w:r>
    </w:p>
    <w:p>
      <w:pPr>
        <w:pStyle w:val="ListParagraph"/>
        <w:numPr>
          <w:ilvl w:val="0"/>
          <w:numId w:val="2"/>
        </w:numPr>
        <w:spacing w:after="60"/>
      </w:pPr>
      <w:r>
        <w:rPr>
          <w:b/>
          <w:bCs/>
        </w:rPr>
        <w:t xml:space="preserve">M4. </w:t>
      </w:r>
      <w:r>
        <w:t xml:space="preserve">Valores hardcodeados de demo (SPY 745 / 2026-06-08 con biases fijos) en cuatro ubicaciones del código de producción (page.tsx ×3, GammaMatrix.tsx).</w:t>
      </w:r>
    </w:p>
    <w:p>
      <w:pPr>
        <w:pStyle w:val="ListParagraph"/>
        <w:numPr>
          <w:ilvl w:val="0"/>
          <w:numId w:val="2"/>
        </w:numPr>
        <w:spacing w:after="60"/>
      </w:pPr>
      <w:r>
        <w:rPr>
          <w:b/>
          <w:bCs/>
        </w:rPr>
        <w:t xml:space="preserve">M5. </w:t>
      </w:r>
      <w:r>
        <w:t xml:space="preserve">Etiqueta de sesgo “Dominante” pierde el signo para |sesgo|&gt;50%.</w:t>
      </w:r>
    </w:p>
    <w:p>
      <w:pPr>
        <w:pStyle w:val="ListParagraph"/>
        <w:numPr>
          <w:ilvl w:val="0"/>
          <w:numId w:val="2"/>
        </w:numPr>
        <w:spacing w:after="60"/>
      </w:pPr>
      <w:r>
        <w:rPr>
          <w:b/>
          <w:bCs/>
        </w:rPr>
        <w:t xml:space="preserve">M6. </w:t>
      </w:r>
      <w:r>
        <w:t xml:space="preserve">En matrixGlobalStats, rawTotal y netTotal son la misma suma (variables duplicadas sin efecto).</w:t>
      </w:r>
    </w:p>
    <w:p>
      <w:pPr>
        <w:pStyle w:val="ListParagraph"/>
        <w:numPr>
          <w:ilvl w:val="0"/>
          <w:numId w:val="2"/>
        </w:numPr>
        <w:spacing w:after="60"/>
      </w:pPr>
      <w:r>
        <w:rPr>
          <w:b/>
          <w:bCs/>
        </w:rPr>
        <w:t xml:space="preserve">M7. </w:t>
      </w:r>
      <w:r>
        <w:t xml:space="preserve">vannaFlip por suma acumulada desde el strike más bajo: el resultado depende del punto de partida; no es un “flip” comparable al de gamma.</w:t>
      </w:r>
    </w:p>
    <w:p>
      <w:pPr>
        <w:pStyle w:val="ListParagraph"/>
        <w:numPr>
          <w:ilvl w:val="0"/>
          <w:numId w:val="2"/>
        </w:numPr>
        <w:spacing w:after="60"/>
      </w:pPr>
      <w:r>
        <w:rPr>
          <w:b/>
          <w:bCs/>
        </w:rPr>
        <w:t xml:space="preserve">M8. </w:t>
      </w:r>
      <w:r>
        <w:t xml:space="preserve">El POST /api/dealer/build ejecuta un proceso Node por request sin lock ni auth: riesgo de DoS y de escrituras concurrentes a la caché.</w:t>
      </w:r>
    </w:p>
    <w:p>
      <w:pPr>
        <w:pStyle w:val="ListParagraph"/>
        <w:numPr>
          <w:ilvl w:val="0"/>
          <w:numId w:val="2"/>
        </w:numPr>
        <w:spacing w:after="60"/>
      </w:pPr>
      <w:r>
        <w:rPr>
          <w:b/>
          <w:bCs/>
        </w:rPr>
        <w:t xml:space="preserve">M9. </w:t>
      </w:r>
      <w:r>
        <w:t xml:space="preserve">displayExpirations recorta a 5/10 vencimientos según ticker de forma silenciosa: el usuario cree ver toda la estructura.</w:t>
      </w:r>
    </w:p>
    <w:p>
      <w:pPr>
        <w:pStyle w:val="ListParagraph"/>
        <w:numPr>
          <w:ilvl w:val="0"/>
          <w:numId w:val="2"/>
        </w:numPr>
        <w:spacing w:after="60"/>
      </w:pPr>
      <w:r>
        <w:rPr>
          <w:b/>
          <w:bCs/>
        </w:rPr>
        <w:t xml:space="preserve">M10. </w:t>
      </w:r>
      <w:r>
        <w:t xml:space="preserve">Snapshot de persistencia escrito dentro de useMemo (efecto colateral; doble ejecución en StrictMode).</w:t>
      </w:r>
    </w:p>
    <w:p>
      <w:r>
        <w:br w:type="page"/>
      </w:r>
    </w:p>
    <w:p>
      <w:pPr>
        <w:pStyle w:val="Heading1"/>
      </w:pPr>
      <w:r>
        <w:t xml:space="preserve">10. Cambios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300"/>
        <w:gridCol w:w="1300"/>
        <w:gridCol w:w="1600"/>
      </w:tblGrid>
      <w:tr>
        <w:trPr>
          <w:tblHeader/>
        </w:trPr>
        <w:tc>
          <w:tcPr>
            <w:tcW w:type="dxa" w:w="7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w:t>
            </w:r>
          </w:p>
        </w:tc>
        <w:tc>
          <w:tcPr>
            <w:tcW w:type="dxa" w:w="44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Cambio</w:t>
            </w:r>
          </w:p>
        </w:tc>
        <w:tc>
          <w:tcPr>
            <w:tcW w:type="dxa" w:w="1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Prioridad</w:t>
            </w:r>
          </w:p>
        </w:tc>
        <w:tc>
          <w:tcPr>
            <w:tcW w:type="dxa" w:w="1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Esfuerzo</w:t>
            </w:r>
          </w:p>
        </w:tc>
        <w:tc>
          <w:tcPr>
            <w:tcW w:type="dxa" w:w="16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Resuelve</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Módulo único de sanitización de cadena: filtrar IV fuera de [3%,400%], bid=0 sin OI, precios incoherentes; re-derivar IV desde mid (Newton/Brent); UNA gamma por strike vía contrato OTM (paridad).</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10–16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C4, C5, parte de C7</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Corregir vanna: −φ(d1)·d2/σ; separar VannaEx y VegaEx; signo dealer coherente con GEX.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C1, signo VEX</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dealerExposure = −bias·γ·OI·S²; defaults bias_call=−1, bias_put=+1 sin dato UW; marcar celdas con dato real.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C2, C3</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 reportar el cruce más cercano al spot (y opcionalmente todos).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C7</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Parámetros relativos al grid: pasos de strike y % del spot (o straddle ATM) en escenarios, near-spot, compresión y relación Spot/King; quitar el filtro gex&gt;0 en S/R.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C6, 6.2, 6.8</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Unificar el motor de cálculo en un solo módulo TS compartido (eliminar las 4 copias); fijar r y T una sola vez; expiración 16:00 ET.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8–12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M1–M3</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Presión VEX/GEX en unidades comparables ($ por 1% move vs $ por 1 vol pt) con umbrales calibrados.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C8</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Persistencia server-side (snapshot cada 1–5 min) + EMA/decay; quitar localStorage como fuente de métricas.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8–12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6.6, parte de riesgo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Riesgo estructural V2 multiplicativo con signo del King (ver 6.5).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6.5</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Dominancia/sesgo/densidad sobre la cadena completa (invariantes a la UI); densidad por Herfindahl.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6.1, 6.3, 6.9</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11</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Dealer-builder: decay por recencia, sin clamping por pata, prior por tipo en día 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Baja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12</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Caché server-side de cadenas (TTL 30–60 s), lock en /api/dealer/build, quitar hardcodes y etiquetar “$ por 1% move” y “OI as-of”.</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Baja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M4, M8, latencia</w:t>
            </w:r>
          </w:p>
        </w:tc>
      </w:tr>
    </w:tbl>
    <w:p>
      <w:pPr>
        <w:spacing w:after="120"/>
      </w:pPr>
      <w:r>
        <w:t xml:space="preserve">Total estimado: 64–94 horas. Los cambios 1–5 (25–36 h) llevan el sistema de “no operable” a “comparable con herramientas comerciales en su núcleo GEX”.</w:t>
      </w:r>
    </w:p>
    <w:p>
      <w:r>
        <w:br w:type="page"/>
      </w:r>
    </w:p>
    <w:p>
      <w:pPr>
        <w:pStyle w:val="Heading1"/>
      </w:pPr>
      <w:r>
        <w:t xml:space="preserve">11. Propuesta V2 del algoritmo (pseudocódigo)</w:t>
      </w:r>
    </w:p>
    <w:p>
      <w:pPr>
        <w:spacing w:after="120"/>
      </w:pPr>
      <w:r>
        <w:t xml:space="preserve">Un solo motor determinista, datos sanitizados, convenciones explícitas y métricas invariantes a la UI.</w:t>
      </w:r>
    </w:p>
    <w:p>
      <w:pPr>
        <w:shd w:fill="F4F4F4" w:val="clear"/>
        <w:spacing w:after="20"/>
      </w:pPr>
      <w:r>
        <w:rPr>
          <w:rFonts w:ascii="Consolas" w:cs="Consolas" w:eastAsia="Consolas" w:hAnsi="Consolas"/>
          <w:sz w:val="17"/>
          <w:szCs w:val="17"/>
        </w:rPr>
        <w:t xml:space="preserve"># ============ 1. SANITIZACIÓN ============</w:t>
      </w:r>
    </w:p>
    <w:p>
      <w:pPr>
        <w:shd w:fill="F4F4F4" w:val="clear"/>
        <w:spacing w:after="20"/>
      </w:pPr>
      <w:r>
        <w:rPr>
          <w:rFonts w:ascii="Consolas" w:cs="Consolas" w:eastAsia="Consolas" w:hAnsi="Consolas"/>
          <w:sz w:val="17"/>
          <w:szCs w:val="17"/>
        </w:rPr>
        <w:t xml:space="preserve">def sanitize_chain(chain, spot):</w:t>
      </w:r>
    </w:p>
    <w:p>
      <w:pPr>
        <w:shd w:fill="F4F4F4" w:val="clear"/>
        <w:spacing w:after="20"/>
      </w:pPr>
      <w:r>
        <w:rPr>
          <w:rFonts w:ascii="Consolas" w:cs="Consolas" w:eastAsia="Consolas" w:hAnsi="Consolas"/>
          <w:sz w:val="17"/>
          <w:szCs w:val="17"/>
        </w:rPr>
        <w:t xml:space="preserve">    for c in chain:</w:t>
      </w:r>
    </w:p>
    <w:p>
      <w:pPr>
        <w:shd w:fill="F4F4F4" w:val="clear"/>
        <w:spacing w:after="20"/>
      </w:pPr>
      <w:r>
        <w:rPr>
          <w:rFonts w:ascii="Consolas" w:cs="Consolas" w:eastAsia="Consolas" w:hAnsi="Consolas"/>
          <w:sz w:val="17"/>
          <w:szCs w:val="17"/>
        </w:rPr>
        <w:t xml:space="preserve">        c.mid = (c.bid + c.ask)/2</w:t>
      </w:r>
    </w:p>
    <w:p>
      <w:pPr>
        <w:shd w:fill="F4F4F4" w:val="clear"/>
        <w:spacing w:after="20"/>
      </w:pPr>
      <w:r>
        <w:rPr>
          <w:rFonts w:ascii="Consolas" w:cs="Consolas" w:eastAsia="Consolas" w:hAnsi="Consolas"/>
          <w:sz w:val="17"/>
          <w:szCs w:val="17"/>
        </w:rPr>
        <w:t xml:space="preserve">        if c.oi == 0 and c.bid == 0: drop(c)</w:t>
      </w:r>
    </w:p>
    <w:p>
      <w:pPr>
        <w:shd w:fill="F4F4F4" w:val="clear"/>
        <w:spacing w:after="20"/>
      </w:pPr>
      <w:r>
        <w:rPr>
          <w:rFonts w:ascii="Consolas" w:cs="Consolas" w:eastAsia="Consolas" w:hAnsi="Consolas"/>
          <w:sz w:val="17"/>
          <w:szCs w:val="17"/>
        </w:rPr>
        <w:t xml:space="preserve">        if not price_sane(c.mid, intrinsic(c, spot)): drop(c)</w:t>
      </w:r>
    </w:p>
    <w:p>
      <w:pPr>
        <w:shd w:fill="F4F4F4" w:val="clear"/>
        <w:spacing w:after="20"/>
      </w:pPr>
      <w:r>
        <w:rPr>
          <w:rFonts w:ascii="Consolas" w:cs="Consolas" w:eastAsia="Consolas" w:hAnsi="Consolas"/>
          <w:sz w:val="17"/>
          <w:szCs w:val="17"/>
        </w:rPr>
        <w:t xml:space="preserve">        if c.iv &lt; 0.03 or c.iv &gt; 4.0 or c.iv is garbage:</w:t>
      </w:r>
    </w:p>
    <w:p>
      <w:pPr>
        <w:shd w:fill="F4F4F4" w:val="clear"/>
        <w:spacing w:after="20"/>
      </w:pPr>
      <w:r>
        <w:rPr>
          <w:rFonts w:ascii="Consolas" w:cs="Consolas" w:eastAsia="Consolas" w:hAnsi="Consolas"/>
          <w:sz w:val="17"/>
          <w:szCs w:val="17"/>
        </w:rPr>
        <w:t xml:space="preserve">            c.iv = implied_vol_from_mid(c.mid, spot, c.strike, T, r)   # Brent</w:t>
      </w:r>
    </w:p>
    <w:p>
      <w:pPr>
        <w:shd w:fill="F4F4F4" w:val="clear"/>
        <w:spacing w:after="20"/>
      </w:pPr>
      <w:r>
        <w:rPr>
          <w:rFonts w:ascii="Consolas" w:cs="Consolas" w:eastAsia="Consolas" w:hAnsi="Consolas"/>
          <w:sz w:val="17"/>
          <w:szCs w:val="17"/>
        </w:rPr>
        <w:t xml:space="preserve">    # una gamma por strike: IV del contrato OTM (paridad call/put)</w:t>
      </w:r>
    </w:p>
    <w:p>
      <w:pPr>
        <w:shd w:fill="F4F4F4" w:val="clear"/>
        <w:spacing w:after="20"/>
      </w:pPr>
      <w:r>
        <w:rPr>
          <w:rFonts w:ascii="Consolas" w:cs="Consolas" w:eastAsia="Consolas" w:hAnsi="Consolas"/>
          <w:sz w:val="17"/>
          <w:szCs w:val="17"/>
        </w:rPr>
        <w:t xml:space="preserve">    for strike in strikes:</w:t>
      </w:r>
    </w:p>
    <w:p>
      <w:pPr>
        <w:shd w:fill="F4F4F4" w:val="clear"/>
        <w:spacing w:after="20"/>
      </w:pPr>
      <w:r>
        <w:rPr>
          <w:rFonts w:ascii="Consolas" w:cs="Consolas" w:eastAsia="Consolas" w:hAnsi="Consolas"/>
          <w:sz w:val="17"/>
          <w:szCs w:val="17"/>
        </w:rPr>
        <w:t xml:space="preserve">        iv_k = iv(otm_side(strike, spot))</w:t>
      </w:r>
    </w:p>
    <w:p>
      <w:pPr>
        <w:shd w:fill="F4F4F4" w:val="clear"/>
        <w:spacing w:after="20"/>
      </w:pPr>
      <w:r>
        <w:rPr>
          <w:rFonts w:ascii="Consolas" w:cs="Consolas" w:eastAsia="Consolas" w:hAnsi="Consolas"/>
          <w:sz w:val="17"/>
          <w:szCs w:val="17"/>
        </w:rPr>
        <w:t xml:space="preserve">        gamma_k = bs_gamma(spot, strike, T_exact, r, q, iv_k)   # T hasta 16:00 ET</w:t>
      </w:r>
    </w:p>
    <w:p>
      <w:pPr>
        <w:shd w:fill="F4F4F4" w:val="clear"/>
        <w:spacing w:after="20"/>
      </w:pPr>
      <w:r>
        <w:rPr>
          <w:rFonts w:ascii="Consolas" w:cs="Consolas" w:eastAsia="Consolas" w:hAnsi="Consolas"/>
          <w:sz w:val="17"/>
          <w:szCs w:val="17"/>
        </w:rPr>
        <w:t xml:space="preserve">        vanna_k = -phi(d1)*d2/iv_k          # SIN factor sqrt(T) extra</w:t>
      </w:r>
    </w:p>
    <w:p>
      <w:pPr>
        <w:shd w:fill="F4F4F4" w:val="clear"/>
        <w:spacing w:after="20"/>
      </w:pPr>
      <w:r>
        <w:rPr>
          <w:rFonts w:ascii="Consolas" w:cs="Consolas" w:eastAsia="Consolas" w:hAnsi="Consolas"/>
          <w:sz w:val="17"/>
          <w:szCs w:val="17"/>
        </w:rPr>
        <w:t xml:space="preserve">        vega_k  = spot*phi(d1)*sqrt(T)</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2. POSICIONAMIENTO DEALER ============</w:t>
      </w:r>
    </w:p>
    <w:p>
      <w:pPr>
        <w:shd w:fill="F4F4F4" w:val="clear"/>
        <w:spacing w:after="20"/>
      </w:pPr>
      <w:r>
        <w:rPr>
          <w:rFonts w:ascii="Consolas" w:cs="Consolas" w:eastAsia="Consolas" w:hAnsi="Consolas"/>
          <w:sz w:val="17"/>
          <w:szCs w:val="17"/>
        </w:rPr>
        <w:t xml:space="preserve">def dealer_sign(contract):</w:t>
      </w:r>
    </w:p>
    <w:p>
      <w:pPr>
        <w:shd w:fill="F4F4F4" w:val="clear"/>
        <w:spacing w:after="20"/>
      </w:pPr>
      <w:r>
        <w:rPr>
          <w:rFonts w:ascii="Consolas" w:cs="Consolas" w:eastAsia="Consolas" w:hAnsi="Consolas"/>
          <w:sz w:val="17"/>
          <w:szCs w:val="17"/>
        </w:rPr>
        <w:t xml:space="preserve">    if uw_bias_available(contract):</w:t>
      </w:r>
    </w:p>
    <w:p>
      <w:pPr>
        <w:shd w:fill="F4F4F4" w:val="clear"/>
        <w:spacing w:after="20"/>
      </w:pPr>
      <w:r>
        <w:rPr>
          <w:rFonts w:ascii="Consolas" w:cs="Consolas" w:eastAsia="Consolas" w:hAnsi="Consolas"/>
          <w:sz w:val="17"/>
          <w:szCs w:val="17"/>
        </w:rPr>
        <w:t xml:space="preserve">        b = clamp(uw_bias(contract), -1, 1)      # bias del CLIENTE, con decay temporal</w:t>
      </w:r>
    </w:p>
    <w:p>
      <w:pPr>
        <w:shd w:fill="F4F4F4" w:val="clear"/>
        <w:spacing w:after="20"/>
      </w:pPr>
      <w:r>
        <w:rPr>
          <w:rFonts w:ascii="Consolas" w:cs="Consolas" w:eastAsia="Consolas" w:hAnsi="Consolas"/>
          <w:sz w:val="17"/>
          <w:szCs w:val="17"/>
        </w:rPr>
        <w:t xml:space="preserve">    else:</w:t>
      </w:r>
    </w:p>
    <w:p>
      <w:pPr>
        <w:shd w:fill="F4F4F4" w:val="clear"/>
        <w:spacing w:after="20"/>
      </w:pPr>
      <w:r>
        <w:rPr>
          <w:rFonts w:ascii="Consolas" w:cs="Consolas" w:eastAsia="Consolas" w:hAnsi="Consolas"/>
          <w:sz w:val="17"/>
          <w:szCs w:val="17"/>
        </w:rPr>
        <w:t xml:space="preserve">        b = -1 if contract.type == CALL else +1   # prior SqueezeMetrics</w:t>
      </w:r>
    </w:p>
    <w:p>
      <w:pPr>
        <w:shd w:fill="F4F4F4" w:val="clear"/>
        <w:spacing w:after="20"/>
      </w:pPr>
      <w:r>
        <w:rPr>
          <w:rFonts w:ascii="Consolas" w:cs="Consolas" w:eastAsia="Consolas" w:hAnsi="Consolas"/>
          <w:sz w:val="17"/>
          <w:szCs w:val="17"/>
        </w:rPr>
        <w:t xml:space="preserve">    return -b                                     # dealer = opuesto al cliente</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3. EXPOSICIONES (por strike, $ por escenario) ============</w:t>
      </w:r>
    </w:p>
    <w:p>
      <w:pPr>
        <w:shd w:fill="F4F4F4" w:val="clear"/>
        <w:spacing w:after="20"/>
      </w:pPr>
      <w:r>
        <w:rPr>
          <w:rFonts w:ascii="Consolas" w:cs="Consolas" w:eastAsia="Consolas" w:hAnsi="Consolas"/>
          <w:sz w:val="17"/>
          <w:szCs w:val="17"/>
        </w:rPr>
        <w:t xml:space="preserve">GEX_k   = sum( dealer_sign(c) * gamma_k * c.oi * 100 * spot^2 * 0.01 )   # $ por 1% move</w:t>
      </w:r>
    </w:p>
    <w:p>
      <w:pPr>
        <w:shd w:fill="F4F4F4" w:val="clear"/>
        <w:spacing w:after="20"/>
      </w:pPr>
      <w:r>
        <w:rPr>
          <w:rFonts w:ascii="Consolas" w:cs="Consolas" w:eastAsia="Consolas" w:hAnsi="Consolas"/>
          <w:sz w:val="17"/>
          <w:szCs w:val="17"/>
        </w:rPr>
        <w:t xml:space="preserve">VANNA_k = sum( dealer_sign(c) * vanna_k * c.oi * 100 * spot * 0.01 )     # $ delta por +1 vol pt</w:t>
      </w:r>
    </w:p>
    <w:p>
      <w:pPr>
        <w:shd w:fill="F4F4F4" w:val="clear"/>
        <w:spacing w:after="20"/>
      </w:pPr>
      <w:r>
        <w:rPr>
          <w:rFonts w:ascii="Consolas" w:cs="Consolas" w:eastAsia="Consolas" w:hAnsi="Consolas"/>
          <w:sz w:val="17"/>
          <w:szCs w:val="17"/>
        </w:rPr>
        <w:t xml:space="preserve">VEGA_k  = sum( dealer_sign(c) * vega_k  * c.oi * 100 * 0.01 )            # $ por +1 vol pt</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4. NIVELES ============</w:t>
      </w:r>
    </w:p>
    <w:p>
      <w:pPr>
        <w:shd w:fill="F4F4F4" w:val="clear"/>
        <w:spacing w:after="20"/>
      </w:pPr>
      <w:r>
        <w:rPr>
          <w:rFonts w:ascii="Consolas" w:cs="Consolas" w:eastAsia="Consolas" w:hAnsi="Consolas"/>
          <w:sz w:val="17"/>
          <w:szCs w:val="17"/>
        </w:rPr>
        <w:t xml:space="preserve">king      = argmax_k |GEX_k|                        # sobre cadena completa sanitizada</w:t>
      </w:r>
    </w:p>
    <w:p>
      <w:pPr>
        <w:shd w:fill="F4F4F4" w:val="clear"/>
        <w:spacing w:after="20"/>
      </w:pPr>
      <w:r>
        <w:rPr>
          <w:rFonts w:ascii="Consolas" w:cs="Consolas" w:eastAsia="Consolas" w:hAnsi="Consolas"/>
          <w:sz w:val="17"/>
          <w:szCs w:val="17"/>
        </w:rPr>
        <w:t xml:space="preserve">flips     = all_zero_crossings( S -&gt; netGEX(S) )    # recalculando gamma en S</w:t>
      </w:r>
    </w:p>
    <w:p>
      <w:pPr>
        <w:shd w:fill="F4F4F4" w:val="clear"/>
        <w:spacing w:after="20"/>
      </w:pPr>
      <w:r>
        <w:rPr>
          <w:rFonts w:ascii="Consolas" w:cs="Consolas" w:eastAsia="Consolas" w:hAnsi="Consolas"/>
          <w:sz w:val="17"/>
          <w:szCs w:val="17"/>
        </w:rPr>
        <w:t xml:space="preserve">gamma_flip= flip mas cercano al spot                # publicar todos si hay varios</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5. MÉTRICAS INVARIANTES ============</w:t>
      </w:r>
    </w:p>
    <w:p>
      <w:pPr>
        <w:shd w:fill="F4F4F4" w:val="clear"/>
        <w:spacing w:after="20"/>
      </w:pPr>
      <w:r>
        <w:rPr>
          <w:rFonts w:ascii="Consolas" w:cs="Consolas" w:eastAsia="Consolas" w:hAnsi="Consolas"/>
          <w:sz w:val="17"/>
          <w:szCs w:val="17"/>
        </w:rPr>
        <w:t xml:space="preserve">dominancia  = |GEX_king| / sum_k |GEX_k|            # cadena completa, no 'visibles'</w:t>
      </w:r>
    </w:p>
    <w:p>
      <w:pPr>
        <w:shd w:fill="F4F4F4" w:val="clear"/>
        <w:spacing w:after="20"/>
      </w:pPr>
      <w:r>
        <w:rPr>
          <w:rFonts w:ascii="Consolas" w:cs="Consolas" w:eastAsia="Consolas" w:hAnsi="Consolas"/>
          <w:sz w:val="17"/>
          <w:szCs w:val="17"/>
        </w:rPr>
        <w:t xml:space="preserve">sesgo       = netGEX / sum_k |GEX_k|                # con etiqueta direccional</w:t>
      </w:r>
    </w:p>
    <w:p>
      <w:pPr>
        <w:shd w:fill="F4F4F4" w:val="clear"/>
        <w:spacing w:after="20"/>
      </w:pPr>
      <w:r>
        <w:rPr>
          <w:rFonts w:ascii="Consolas" w:cs="Consolas" w:eastAsia="Consolas" w:hAnsi="Consolas"/>
          <w:sz w:val="17"/>
          <w:szCs w:val="17"/>
        </w:rPr>
        <w:t xml:space="preserve">straddle    = ATM_call_mid + ATM_put_mid            # movimiento esperado</w:t>
      </w:r>
    </w:p>
    <w:p>
      <w:pPr>
        <w:shd w:fill="F4F4F4" w:val="clear"/>
        <w:spacing w:after="20"/>
      </w:pPr>
      <w:r>
        <w:rPr>
          <w:rFonts w:ascii="Consolas" w:cs="Consolas" w:eastAsia="Consolas" w:hAnsi="Consolas"/>
          <w:sz w:val="17"/>
          <w:szCs w:val="17"/>
        </w:rPr>
        <w:t xml:space="preserve">proximidad  = exp(-|spot - king| / straddle)</w:t>
      </w:r>
    </w:p>
    <w:p>
      <w:pPr>
        <w:shd w:fill="F4F4F4" w:val="clear"/>
        <w:spacing w:after="20"/>
      </w:pPr>
      <w:r>
        <w:rPr>
          <w:rFonts w:ascii="Consolas" w:cs="Consolas" w:eastAsia="Consolas" w:hAnsi="Consolas"/>
          <w:sz w:val="17"/>
          <w:szCs w:val="17"/>
        </w:rPr>
        <w:t xml:space="preserve">densidad    = 1 - herfindahl({|GEX_k|})             # concentración real, sin zoom</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6. NIVELES S/R (sin filtro de signo) ============</w:t>
      </w:r>
    </w:p>
    <w:p>
      <w:pPr>
        <w:shd w:fill="F4F4F4" w:val="clear"/>
        <w:spacing w:after="20"/>
      </w:pPr>
      <w:r>
        <w:rPr>
          <w:rFonts w:ascii="Consolas" w:cs="Consolas" w:eastAsia="Consolas" w:hAnsi="Consolas"/>
          <w:sz w:val="17"/>
          <w:szCs w:val="17"/>
        </w:rPr>
        <w:t xml:space="preserve">score_k = |GEX_k| * exp(-|spot-strike|/straddle) * persistencia_k</w:t>
      </w:r>
    </w:p>
    <w:p>
      <w:pPr>
        <w:shd w:fill="F4F4F4" w:val="clear"/>
        <w:spacing w:after="20"/>
      </w:pPr>
      <w:r>
        <w:rPr>
          <w:rFonts w:ascii="Consolas" w:cs="Consolas" w:eastAsia="Consolas" w:hAnsi="Consolas"/>
          <w:sz w:val="17"/>
          <w:szCs w:val="17"/>
        </w:rPr>
        <w:t xml:space="preserve">R = top3 score_k (strike &gt; spot)   rol: GEX&gt;0 absorción | GEX&lt;0 aceleración</w:t>
      </w:r>
    </w:p>
    <w:p>
      <w:pPr>
        <w:shd w:fill="F4F4F4" w:val="clear"/>
        <w:spacing w:after="20"/>
      </w:pPr>
      <w:r>
        <w:rPr>
          <w:rFonts w:ascii="Consolas" w:cs="Consolas" w:eastAsia="Consolas" w:hAnsi="Consolas"/>
          <w:sz w:val="17"/>
          <w:szCs w:val="17"/>
        </w:rPr>
        <w:t xml:space="preserve">S = top3 score_k (strike &lt; spot)   idem</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7. ESCENARIOS (grid-aware) ============</w:t>
      </w:r>
    </w:p>
    <w:p>
      <w:pPr>
        <w:shd w:fill="F4F4F4" w:val="clear"/>
        <w:spacing w:after="20"/>
      </w:pPr>
      <w:r>
        <w:rPr>
          <w:rFonts w:ascii="Consolas" w:cs="Consolas" w:eastAsia="Consolas" w:hAnsi="Consolas"/>
          <w:sz w:val="17"/>
          <w:szCs w:val="17"/>
        </w:rPr>
        <w:t xml:space="preserve">paso = mediana(diff(strikes))</w:t>
      </w:r>
    </w:p>
    <w:p>
      <w:pPr>
        <w:shd w:fill="F4F4F4" w:val="clear"/>
        <w:spacing w:after="20"/>
      </w:pPr>
      <w:r>
        <w:rPr>
          <w:rFonts w:ascii="Consolas" w:cs="Consolas" w:eastAsia="Consolas" w:hAnsi="Consolas"/>
          <w:sz w:val="17"/>
          <w:szCs w:val="17"/>
        </w:rPr>
        <w:t xml:space="preserve">arriba: trigger = primer nodo fuerte &gt; spot</w:t>
      </w:r>
    </w:p>
    <w:p>
      <w:pPr>
        <w:shd w:fill="F4F4F4" w:val="clear"/>
        <w:spacing w:after="20"/>
      </w:pPr>
      <w:r>
        <w:rPr>
          <w:rFonts w:ascii="Consolas" w:cs="Consolas" w:eastAsia="Consolas" w:hAnsi="Consolas"/>
          <w:sz w:val="17"/>
          <w:szCs w:val="17"/>
        </w:rPr>
        <w:t xml:space="preserve">        absorción = cadena de nodos GEX&gt;0 con gaps &lt;= 2*paso (max 3)</w:t>
      </w:r>
    </w:p>
    <w:p>
      <w:pPr>
        <w:shd w:fill="F4F4F4" w:val="clear"/>
        <w:spacing w:after="20"/>
      </w:pPr>
      <w:r>
        <w:rPr>
          <w:rFonts w:ascii="Consolas" w:cs="Consolas" w:eastAsia="Consolas" w:hAnsi="Consolas"/>
          <w:sz w:val="17"/>
          <w:szCs w:val="17"/>
        </w:rPr>
        <w:t xml:space="preserve">abajo:  trigger = primer nodo fuerte &lt; spot</w:t>
      </w:r>
    </w:p>
    <w:p>
      <w:pPr>
        <w:shd w:fill="F4F4F4" w:val="clear"/>
        <w:spacing w:after="20"/>
      </w:pPr>
      <w:r>
        <w:rPr>
          <w:rFonts w:ascii="Consolas" w:cs="Consolas" w:eastAsia="Consolas" w:hAnsi="Consolas"/>
          <w:sz w:val="17"/>
          <w:szCs w:val="17"/>
        </w:rPr>
        <w:t xml:space="preserve">        vacío = gap &gt; 2*paso entre nodos fuertes; interacción = siguiente nodo fuerte</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8. PERSISTENCIA Y RIESGO (server-side) ============</w:t>
      </w:r>
    </w:p>
    <w:p>
      <w:pPr>
        <w:shd w:fill="F4F4F4" w:val="clear"/>
        <w:spacing w:after="20"/>
      </w:pPr>
      <w:r>
        <w:rPr>
          <w:rFonts w:ascii="Consolas" w:cs="Consolas" w:eastAsia="Consolas" w:hAnsi="Consolas"/>
          <w:sz w:val="17"/>
          <w:szCs w:val="17"/>
        </w:rPr>
        <w:t xml:space="preserve">cada 1-5 min: store(ts, king, netGEX, spot)</w:t>
      </w:r>
    </w:p>
    <w:p>
      <w:pPr>
        <w:shd w:fill="F4F4F4" w:val="clear"/>
        <w:spacing w:after="20"/>
      </w:pPr>
      <w:r>
        <w:rPr>
          <w:rFonts w:ascii="Consolas" w:cs="Consolas" w:eastAsia="Consolas" w:hAnsi="Consolas"/>
          <w:sz w:val="17"/>
          <w:szCs w:val="17"/>
        </w:rPr>
        <w:t xml:space="preserve">persistencia = EMA(1{king_t == king_t-1}, half_life=45 min)</w:t>
      </w:r>
    </w:p>
    <w:p>
      <w:pPr>
        <w:shd w:fill="F4F4F4" w:val="clear"/>
        <w:spacing w:after="20"/>
      </w:pPr>
      <w:r>
        <w:rPr>
          <w:rFonts w:ascii="Consolas" w:cs="Consolas" w:eastAsia="Consolas" w:hAnsi="Consolas"/>
          <w:sz w:val="17"/>
          <w:szCs w:val="17"/>
        </w:rPr>
        <w:t xml:space="preserve">reactividad  = max(0, -netGEX) / sum|GEX|</w:t>
      </w:r>
    </w:p>
    <w:p>
      <w:pPr>
        <w:shd w:fill="F4F4F4" w:val="clear"/>
        <w:spacing w:after="20"/>
      </w:pPr>
      <w:r>
        <w:rPr>
          <w:rFonts w:ascii="Consolas" w:cs="Consolas" w:eastAsia="Consolas" w:hAnsi="Consolas"/>
          <w:sz w:val="17"/>
          <w:szCs w:val="17"/>
        </w:rPr>
        <w:t xml:space="preserve">riesgo = 1 - (1 - dominancia*reactividad) * (1 - (1-persistencia)*proximidad)</w:t>
      </w:r>
    </w:p>
    <w:p>
      <w:pPr>
        <w:shd w:fill="F4F4F4" w:val="clear"/>
        <w:spacing w:after="20"/>
      </w:pPr>
      <w:r>
        <w:rPr>
          <w:rFonts w:ascii="Consolas" w:cs="Consolas" w:eastAsia="Consolas" w:hAnsi="Consolas"/>
          <w:sz w:val="17"/>
          <w:szCs w:val="17"/>
        </w:rPr>
        <w:t xml:space="preserve"># spot cerca de king POSITIVO y persistente =&gt; riesgo bajo (pin), no alto</w:t>
      </w:r>
    </w:p>
    <w:p>
      <w:pPr>
        <w:spacing w:after="120"/>
      </w:pPr>
      <w:r>
        <w:t xml:space="preserve"/>
      </w:r>
    </w:p>
    <w:p>
      <w:pPr>
        <w:spacing w:after="120"/>
      </w:pPr>
      <w:r>
        <w:rPr>
          <w:i/>
          <w:iCs/>
        </w:rPr>
        <w:t xml:space="preserve">Notas de contraste con la industria: SqueezeMetrics fija el prior cliente-largo-puts/corto-calls que aquí se usa como default; SpotGamma publica niveles equivalentes (Absolute Gamma = King, Hedge Wall/Vol Trigger ≈ flip más cercano al spot, Call/Put Walls ≈ R/S sin filtro de signo) y reporta exposiciones “per 1% move”; Tier1Alpha y GammaEdge separan vanna y charm de gamma y usan series temporales server-side para persistencia. Donde las fuentes difieren (p. ej. OI puro vs OI+volumen en 0DTE), V2 adopta OI como base y deja el ajuste por volumen como extensión opcional, porque la calidad del volumen intradía de Yahoo no es suficiente para el método combo.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Auditoría GEX/VEX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35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C4A77"/>
      <w:sz w:val="25"/>
      <w:szCs w:val="25"/>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2026-06-11T19:45:14.509Z</dcterms:created>
  <dcterms:modified xsi:type="dcterms:W3CDTF">2026-06-11T19:45:14.509Z</dcterms:modified>
</cp:coreProperties>
</file>

<file path=docProps/custom.xml><?xml version="1.0" encoding="utf-8"?>
<Properties xmlns="http://schemas.openxmlformats.org/officeDocument/2006/custom-properties" xmlns:vt="http://schemas.openxmlformats.org/officeDocument/2006/docPropsVTypes"/>
</file>