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3FDB" w:rsidRPr="00453FDB" w:rsidRDefault="00453FDB" w:rsidP="00453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Dealer Analysis — Guía Avanzada para Operadores de Opciones</w: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Objetivo del módulo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Dealer Analysis no intenta estimar precio justo.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Tampoco proyecta IV.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Este motor interpreta el mercado como una </w:t>
      </w:r>
      <w:r w:rsidRPr="00453FD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distribución espacial de exposición</w:t>
      </w: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La hipótesis base: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Los dealers reaccionan al libro agregado de opciones.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El precio interactúa con esa estructura.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La pregunta deja de ser: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“¿Qué hará el precio?”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y pasa a ser: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“¿Qué parte del sistema tiene mayor probabilidad de forzar cobertura?”</w:t>
      </w:r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Marco conceptual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El sistema trabaja sobre tres capas.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Capa 1 — Exposición local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Por strike: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GEX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VEX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Dominancia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Densidad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lastRenderedPageBreak/>
        <w:t>Pregunta: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t>¿</w:t>
      </w: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Dónde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está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energía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Capa 2 — Geometría estructural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Relación: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Spot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King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Nodos secundarios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Persistencia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Pregunta: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¿Cómo está distribuida?</w:t>
      </w:r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Capa 3 — Dinámica potencial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Escenarios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Absorción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Riesgo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Pregunta: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¿Qué ocurre si el precio se mueve?</w:t>
      </w:r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KING GEX</w: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Definición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Strike con mayor exposición absoluta.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lastRenderedPageBreak/>
        <w:t>No necesariamente: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Max positivo.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No necesariamente: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Max negativo.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Es: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Nodo dominante.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Conceptualmente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argmax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>(|GEX|)</w:t>
      </w:r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Interpretación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El King es el punto donde el sistema tiene mayor capacidad de modificar comportamiento del dealer.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No asumir: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Soporte.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Resistencia.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Pin.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Puede comportarse como cualquiera.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Depende de: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Signo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Contexto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Concentración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Lectura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lastRenderedPageBreak/>
        <w:t>Spot ≈ King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→ estabilización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Spot alejándose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→ migración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King aislado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→ fragilidad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King acompañado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absorción</w:t>
      </w:r>
      <w:proofErr w:type="spellEnd"/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NET GEX</w: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Qué mide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Exposición agregada.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No mide dirección.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Mide capacidad colectiva de amortiguación.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Conceptualmente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t xml:space="preserve">Σ </w:t>
      </w: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exposición</w:t>
      </w:r>
      <w:proofErr w:type="spellEnd"/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Lectura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Net muy positivo: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mercado más absorbente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Net muy negativo: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mercado más reactivo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lastRenderedPageBreak/>
        <w:t>Net pequeño: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estructura distribuida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Importante: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Dos activos con mismo Net pueden tener geometrías opuestas.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Por eso nunca se interpreta aislado.</w:t>
      </w:r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NET VEX</w: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Qué mide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Sensibilidad agregada a IV.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No mide IV.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No mide skew.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No mide RV.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Pregunta: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¿Un cambio de volatilidad altera significativamente la estructura?</w:t>
      </w:r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Lectura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VEX </w:t>
      </w:r>
      <w:r w:rsidRPr="00453FDB">
        <w:rPr>
          <w:rFonts w:ascii="Cambria Math" w:eastAsia="Times New Roman" w:hAnsi="Cambria Math" w:cs="Cambria Math"/>
          <w:sz w:val="24"/>
          <w:szCs w:val="24"/>
          <w:lang w:val="es-AR"/>
        </w:rPr>
        <w:t>≪</w:t>
      </w: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GEX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precio domina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VEX ≈ GEX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IV relevante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VEX &gt; GEX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estructura sensible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lastRenderedPageBreak/>
        <w:t>Importante: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Muchos días intradía tendrán: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VEX casi nulo.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Eso NO es error.</w:t>
      </w:r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RELACIÓN SPOT / KING</w: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Qué mide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Distancia estructural.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No distancia estadística.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Pregunta: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¿Cuánto desacople existe?</w:t>
      </w:r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Interpretación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Muy cerca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precio dentro del sistema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Media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transición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Lejos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mercado desanclado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Lectura avanzada: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King lejos + dominancia alta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→ potencial de aceleración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lastRenderedPageBreak/>
        <w:t>King cerca + dominancia alta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→ potencial de pin</w:t>
      </w:r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DOMINANCIA</w: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Definición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Peso del King sobre estructura visible.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Conceptualmente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t>|King|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Σ|nodos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>|</w:t>
      </w:r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Interpretación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No mide tamaño.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Mide concentración.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Ejemplos: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40%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mercado repartido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70%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mercado dependiente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95%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mercado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mononodal</w:t>
      </w:r>
      <w:proofErr w:type="spellEnd"/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lastRenderedPageBreak/>
        <w:t>Advertencia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Dominancia alta NO implica estabilidad.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Puede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implicar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fragilidad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SESGO ESTRUCTURAL</w: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Qué mide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Inclinación neta del sistema.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Conceptualmente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t>Net GEX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t>masa total</w:t>
      </w:r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Interpretación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Negativo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estructura inclinada inferior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Neutral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equilibrio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Positivo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estructura inclinada superior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No es: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t>bullish.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lastRenderedPageBreak/>
        <w:t>bearish.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Es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asimetría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PERSISTENCIA</w: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Qué mide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Continuidad temporal del King.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Pregunta: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¿La estructura permanece?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No mide: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magnitud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Lectura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Alta persistencia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flujo consolidado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Baja persistencia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reconstrucción estructural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King móvil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mercado transicional</w:t>
      </w:r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ESCENARIOS</w: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Qué representan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Rutas estructurales.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lastRenderedPageBreak/>
        <w:t>No targets.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El motor responde: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“si el precio rompe esta condición, ¿qué región absorbe después?”</w:t>
      </w:r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</w:rPr>
        <w:t>Superior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Recupera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nivel</w:t>
      </w:r>
      <w:proofErr w:type="spellEnd"/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interacción</w:t>
      </w:r>
      <w:proofErr w:type="spellEnd"/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absorción</w:t>
      </w:r>
      <w:proofErr w:type="spellEnd"/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Inferior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Pierde nivel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↓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vacío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↓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siguiente nodo</w:t>
      </w:r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Lectura correcta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No preguntar: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¿Llegará?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Preguntar: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Si llega,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lastRenderedPageBreak/>
        <w:t>¿qué cambia?</w:t>
      </w:r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RIESGO ESTRUCTURAL</w: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Qué mide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Dependencia del sistema.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Combina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Dominancia</w:t>
      </w:r>
      <w:proofErr w:type="spellEnd"/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Sesgo</w:t>
      </w:r>
      <w:proofErr w:type="spellEnd"/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Proximidad</w:t>
      </w:r>
      <w:proofErr w:type="spellEnd"/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Persistencia</w:t>
      </w:r>
      <w:proofErr w:type="spellEnd"/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Interpretación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Bajo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estructura robusta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Moderado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movimiento contenido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Alto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sistema sensible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Crítico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estructura dependiente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Importante: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Riesgo alto NO implica dirección.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lastRenderedPageBreak/>
        <w:t>Implica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poca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redundancia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ZONAS GEX</w: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Qué son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Nodos secundarios.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Excluyen: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King.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Objetivo: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Mostrar estructura acompañante.</w:t>
      </w:r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Lectura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Zonas cercanas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absorción inmediata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Zonas lejanas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interacción posterior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Concentración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compresión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Dispersión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expansión</w:t>
      </w:r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MAPA ESTRUCTURAL</w: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</w:rPr>
        <w:t>Qué</w:t>
      </w:r>
      <w:proofErr w:type="spellEnd"/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</w:rPr>
        <w:t>representa</w:t>
      </w:r>
      <w:proofErr w:type="spellEnd"/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lastRenderedPageBreak/>
        <w:t>Región activa del sistema.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Incluye: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Rango</w:t>
      </w:r>
      <w:proofErr w:type="spellEnd"/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Densidad</w:t>
      </w:r>
      <w:proofErr w:type="spellEnd"/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Absorción</w:t>
      </w:r>
      <w:proofErr w:type="spellEnd"/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Compresión</w:t>
      </w:r>
      <w:proofErr w:type="spellEnd"/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53FDB">
        <w:rPr>
          <w:rFonts w:ascii="Times New Roman" w:eastAsia="Times New Roman" w:hAnsi="Times New Roman" w:cs="Times New Roman"/>
          <w:b/>
          <w:bCs/>
          <w:sz w:val="36"/>
          <w:szCs w:val="36"/>
        </w:rPr>
        <w:t>Interpretación</w:t>
      </w:r>
      <w:proofErr w:type="spellEnd"/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Densidad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alta</w:t>
      </w:r>
      <w:proofErr w:type="spellEnd"/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mercado ordenado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Absorción alta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múltiples estabilizadores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Compresión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alta</w:t>
      </w:r>
      <w:proofErr w:type="spellEnd"/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potencial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liberación</w:t>
      </w:r>
      <w:proofErr w:type="spellEnd"/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53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Flujo</w:t>
      </w:r>
      <w:proofErr w:type="spellEnd"/>
      <w:r w:rsidRPr="00453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453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recomendado</w:t>
      </w:r>
      <w:proofErr w:type="spellEnd"/>
      <w:r w:rsidRPr="00453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 </w:t>
      </w:r>
      <w:proofErr w:type="spellStart"/>
      <w:r w:rsidRPr="00453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lectura</w:t>
      </w:r>
      <w:proofErr w:type="spellEnd"/>
    </w:p>
    <w:p w:rsidR="00453FDB" w:rsidRPr="00453FDB" w:rsidRDefault="00453FDB" w:rsidP="00453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t>King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53FDB" w:rsidRPr="00453FDB" w:rsidRDefault="00453FDB" w:rsidP="00453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Dominancia</w:t>
      </w:r>
      <w:proofErr w:type="spellEnd"/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53FDB" w:rsidRPr="00453FDB" w:rsidRDefault="00453FDB" w:rsidP="00453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lastRenderedPageBreak/>
        <w:t>Spot / King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53FDB" w:rsidRPr="00453FDB" w:rsidRDefault="00453FDB" w:rsidP="00453F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Sesgo</w:t>
      </w:r>
      <w:proofErr w:type="spellEnd"/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53FDB" w:rsidRPr="00453FDB" w:rsidRDefault="00453FDB" w:rsidP="00453F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Escenarios</w:t>
      </w:r>
      <w:proofErr w:type="spellEnd"/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53FDB" w:rsidRPr="00453FDB" w:rsidRDefault="00453FDB" w:rsidP="00453F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Riesgo</w:t>
      </w:r>
      <w:proofErr w:type="spellEnd"/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53FDB" w:rsidRPr="00453FDB" w:rsidRDefault="00453FDB" w:rsidP="00453F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t>Zonas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53FDB" w:rsidRPr="00453FDB" w:rsidRDefault="00453FDB" w:rsidP="00453F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Mapa</w:t>
      </w:r>
      <w:proofErr w:type="spellEnd"/>
    </w:p>
    <w:p w:rsidR="00453FDB" w:rsidRPr="00453FDB" w:rsidRDefault="00453FDB" w:rsidP="00453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453FDB" w:rsidRPr="00453FDB" w:rsidRDefault="00453FDB" w:rsidP="00453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453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Qué este sistema NO intenta hacer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No estima: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Delta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Charm</w:t>
      </w:r>
      <w:proofErr w:type="spellEnd"/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Vanna</w:t>
      </w:r>
      <w:proofErr w:type="spellEnd"/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Skew</w:t>
      </w:r>
      <w:proofErr w:type="spellEnd"/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lastRenderedPageBreak/>
        <w:t>Expected Move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t>Flow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t>Dealer inventory real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t>Vol forecast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453FDB">
        <w:rPr>
          <w:rFonts w:ascii="Times New Roman" w:eastAsia="Times New Roman" w:hAnsi="Times New Roman" w:cs="Times New Roman"/>
          <w:sz w:val="24"/>
          <w:szCs w:val="24"/>
        </w:rPr>
        <w:t>reemplaza</w:t>
      </w:r>
      <w:proofErr w:type="spellEnd"/>
      <w:r w:rsidRPr="00453FD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t>tape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FDB">
        <w:rPr>
          <w:rFonts w:ascii="Times New Roman" w:eastAsia="Times New Roman" w:hAnsi="Times New Roman" w:cs="Times New Roman"/>
          <w:sz w:val="24"/>
          <w:szCs w:val="24"/>
        </w:rPr>
        <w:t>OI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precio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fundamentales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Su objetivo es uno: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convertir exposición agregada</w:t>
      </w:r>
    </w:p>
    <w:p w:rsidR="00453FDB" w:rsidRPr="00453FDB" w:rsidRDefault="00453FDB" w:rsidP="004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3FDB">
        <w:rPr>
          <w:rFonts w:ascii="Times New Roman" w:eastAsia="Times New Roman" w:hAnsi="Times New Roman" w:cs="Times New Roman"/>
          <w:sz w:val="24"/>
          <w:szCs w:val="24"/>
          <w:lang w:val="es-AR"/>
        </w:rPr>
        <w:t>en lectura estructural.</w:t>
      </w:r>
    </w:p>
    <w:p w:rsidR="00B90D75" w:rsidRPr="00453FDB" w:rsidRDefault="00B90D75">
      <w:pPr>
        <w:rPr>
          <w:lang w:val="es-AR"/>
        </w:rPr>
      </w:pPr>
      <w:bookmarkStart w:id="0" w:name="_GoBack"/>
      <w:bookmarkEnd w:id="0"/>
    </w:p>
    <w:sectPr w:rsidR="00B90D75" w:rsidRPr="00453F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B32C2"/>
    <w:multiLevelType w:val="multilevel"/>
    <w:tmpl w:val="FAE82F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50253"/>
    <w:multiLevelType w:val="multilevel"/>
    <w:tmpl w:val="D47C22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D1DF2"/>
    <w:multiLevelType w:val="multilevel"/>
    <w:tmpl w:val="F0E669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00890"/>
    <w:multiLevelType w:val="multilevel"/>
    <w:tmpl w:val="62D4B3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DA31E7"/>
    <w:multiLevelType w:val="multilevel"/>
    <w:tmpl w:val="64F200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2E3601"/>
    <w:multiLevelType w:val="multilevel"/>
    <w:tmpl w:val="20FA69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A72675"/>
    <w:multiLevelType w:val="multilevel"/>
    <w:tmpl w:val="36560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261D2E"/>
    <w:multiLevelType w:val="multilevel"/>
    <w:tmpl w:val="5680C7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2"/>
  </w:num>
  <w:num w:numId="5">
    <w:abstractNumId w:val="1"/>
  </w:num>
  <w:num w:numId="6">
    <w:abstractNumId w:val="5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FDB"/>
    <w:rsid w:val="00453FDB"/>
    <w:rsid w:val="00B9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7A99A9-972F-4AE5-8939-6341CC5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53F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453F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3F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453FD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53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53F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5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692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</dc:creator>
  <cp:keywords/>
  <dc:description/>
  <cp:lastModifiedBy>Dany</cp:lastModifiedBy>
  <cp:revision>1</cp:revision>
  <dcterms:created xsi:type="dcterms:W3CDTF">2026-06-10T22:21:00Z</dcterms:created>
  <dcterms:modified xsi:type="dcterms:W3CDTF">2026-06-10T22:22:00Z</dcterms:modified>
</cp:coreProperties>
</file>