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NDS 解题方案与验证报告</w:t>
      </w:r>
    </w:p>
    <w:p>
      <w:pPr>
        <w:pStyle w:val="Subtitle"/>
      </w:pPr>
      <w:r>
        <w:t>观察窗口调度与复用感知缓存</w:t>
      </w:r>
    </w:p>
    <w:p>
      <w:r>
        <w:t>同一份C++17策略，对应源码、可执行程序、验证证据和答辩材料。</w:t>
      </w:r>
    </w:p>
    <w:p>
      <w:r>
        <w:t>团队 / 作者：________________</w:t>
      </w:r>
    </w:p>
    <w:p>
      <w:pPr>
        <w:pStyle w:val="Heading1"/>
      </w:pPr>
      <w:r>
        <w:t>材料来源与评测范围</w:t>
      </w:r>
    </w:p>
    <w:p>
      <w:r>
        <w:t>赛题由参赛人提供，原文保存在本目录赛题.docx。公开实现和数据来自出题人仓库（https://github.com/mycastiel/hackathon/tree/6b1666eb908a4cb55a84dc20832d9e57ffc1e4c4/public），固定提交为6b1666eb908a4cb55a84dc20832d9e57ffc1e4c4，核验日期2026-10-29。</w:t>
      </w:r>
    </w:p>
    <w:p>
      <w:r>
        <w:t>03目录的39条公开JSON直接取自该提交，保持原始字节。模拟器、解析器、生成器、校验器、评分器、冻结成本和参考成本均使用官方实现；只提交自己的player/solution.cpp。官方完整说明原文留在本目录；其中部分可选对照策略/脚本不纳入本提交包，构建、验证和评分所需组件均已包含。</w:t>
      </w:r>
    </w:p>
    <w:p>
      <w:r>
        <w:t>官方数据哈希.json记录39条文件哈希；SDK来源与哈希.json记录包含的官方组件哈希。没有修改参考成本，也没有运行score.sh --freeze。</w:t>
      </w:r>
    </w:p>
    <w:p>
      <w:r>
        <w:t>扩展399条由本地构建并与官方数据分开报告：官方生成器及显式后处理形成318条资源、覆盖、分布和回归输入；另有33条协议级分布/尺寸边界输入、24条缓存与到达过程专项，以及24条在本次策略冻结后生成的独立家族。只有最后24条在本次方案选择时未见；其他数据均属于可见验证或回归材料。输入参数和哈希见04目录各manifest。所有本地合成数据都不等同主办方隐藏集。</w:t>
      </w:r>
    </w:p>
    <w:p>
      <w:r>
        <w:t>公开评分是本地执行官方评分脚本的结果：可行性20分、优化60分、时限/内存10分；文档10分由评委人工评价。仿真J不能当作真实Ascend/NPU、NVMe或主机端到端性能实测。</w:t>
      </w:r>
    </w:p>
    <w:p>
      <w:r>
        <w:t>SDK的命中按整个iocb键(device_id,ssd_offset,length)匹配，自动H2D，不进入on_submit；TTL从提升完成起算，命中不续TTL。字段promote_hit_rate实际是插入成功数/提升次数，不能当作后续复用命中率。旧资源别名mooncake_capacity与kvcache_pool_capacity由官方解析器统一。</w:t>
      </w:r>
    </w:p>
    <w:p>
      <w:r>
        <w:br w:type="page"/>
      </w:r>
    </w:p>
    <w:p>
      <w:pPr>
        <w:pStyle w:val="Heading1"/>
      </w:pPr>
      <w:r>
        <w:t>在线区间调度、观察窗口比较与缓存准入</w:t>
      </w:r>
    </w:p>
    <w:p>
      <w:pPr>
        <w:pStyle w:val="Heading2"/>
      </w:pPr>
      <w:r>
        <w:t>目标与信息边界</w:t>
      </w:r>
    </w:p>
    <w:p>
      <w:r>
        <w:t>最小化完整 Trace 的 J = time_cost_per_us × TraceTime + CPUCost + NPUCost。输入由主办方 SDK 的 on_submit 和 on_iocb_complete 回调提供。策略只使用当前未命中请求、运行状态及历史；不访问文件名、instance_id、随机种子、完整 Trace 或未来请求。</w:t>
      </w:r>
    </w:p>
    <w:p>
      <w:r>
        <w:t>本实现是单一 C++17 策略。主办方模拟器负责真实的共享带宽、传输阶段、资源分配、TTL/LRU 和完成事件。算法不自行宣称完成时间。</w:t>
      </w:r>
    </w:p>
    <w:p>
      <w:pPr>
        <w:pStyle w:val="Heading2"/>
      </w:pPr>
      <w:r>
        <w:t>前台规划</w:t>
      </w:r>
    </w:p>
    <w:p>
      <w:r>
        <w:t>对每个 IOCB 建立 iov 累计结束位置索引。切分逻辑区间时二分定位首个相交 iov，只输出实际交集；首尾 SSD 扩读按 512B 对齐，禁止写入无关 HBM。</w:t>
      </w:r>
    </w:p>
    <w:p>
      <w:r>
        <w:t>候选块上限取 2MiB 和 8MiB，均受实际临时池容量约束；比较候选成本后选择，而不是为某个长度固定路径。较大的可行块可以避免小尾块和额外调用，较小块则保留流水与池复用机会。无法进入候选模拟预算的输入使用 2MiB 规划及容量切分。</w:t>
      </w:r>
    </w:p>
    <w:p>
      <w:r>
        <w:t>按设备和 SSD 起点排序，在同卡相接或重叠区间上做窗口为 128 的动态规划，联合选择合并边界和 DIRECT / AGGREGATE / FALLBACK。DIRECT 要求每个逻辑交集的 SSD 起点、HBM 目标和长度均符合对齐。暂存路径检查缓冲容量；DIRECT / AGGREGATE 检查所有者数与 IOCB 槽位约束。</w:t>
      </w:r>
    </w:p>
    <w:p>
      <w:r>
        <w:t>拆分的 IOCB 不与其他所有者共享一个操作，避免不同操作交叉占用槽位后互相等待。输出显式的读→复制依赖；缓冲释放、复制并发和循环复用由 SDK 管理。</w:t>
      </w:r>
    </w:p>
    <w:p>
      <w:r>
        <w:t>DP 使用资源工作量与调用成本的加法代理。SSD 为全局共享资源；复制活动按类型及设备分别估计，并按对应硬并发限制取值。DP 最优只针对当前代理和候选区间，不是对完整在线 J 的最优证明。</w:t>
      </w:r>
    </w:p>
    <w:p>
      <w:pPr>
        <w:pStyle w:val="Heading2"/>
      </w:pPr>
      <w:r>
        <w:t>有界观察窗口比较</w:t>
      </w:r>
    </w:p>
    <w:p>
      <w:r>
        <w:t>普通批次在不超过 1024 个可见请求、2048 个 iov、初始计划不超过 2048 个操作时，比较至多六种候选：两个块长下的 DP 方案，以及各自可行的 AGGREGATE / FALLBACK 路径偏好。DIRECT 保留直接路径；不满足目标池或槽位条件的操作保持原有合法路径。</w:t>
      </w:r>
    </w:p>
    <w:p>
      <w:r>
        <w:t>历史窗口只保留仍含未完成前台请求的已到达批次，最多 32 批。按总 iov 32768 和基准计划操作预算 512 进一步截断。在窗口中对路径偏好进行反事实模拟，以观察批间槽位占用、缓冲池和共享带宽对流水的影响；仅执行当前批次选中的操作。</w:t>
      </w:r>
    </w:p>
    <w:p>
      <w:r>
        <w:t>反事实模拟并不修改已经执行的任务。它使用官方 SDK 的同一资源模型，但省略窗口外工作、缓存命中搬运和后台提升，所以仍是条件性成本估计。不能将其称为真实全状态快照回放或已知未来的全局优化。</w:t>
      </w:r>
    </w:p>
    <w:p>
      <w:r>
        <w:t>无历史前缀时，按完整操作形状和所有者映射缓存局部成本，最多保存 64 项，每项签名不超过 32768 个整数。缓存键不使用用例标识；只复用相同资源模型下、相同操作拓扑的结果。</w:t>
      </w:r>
    </w:p>
    <w:p>
      <w:r>
        <w:t>在保守空闲、没有缓存及提升历史，且最多 6 个完整块、256 个 iov 时，还可枚举受限微批计划。单次枚举最多 3072 个候选；两个块长至多触发两次。该搜索只见当前 submit，且不将结论外推到有后台工作的状态。</w:t>
      </w:r>
    </w:p>
    <w:p>
      <w:pPr>
        <w:pStyle w:val="Heading2"/>
      </w:pPr>
      <w:r>
        <w:t>最终计划与缓存账本</w:t>
      </w:r>
    </w:p>
    <w:p>
      <w:r>
        <w:t>只对最终选定的前台操作记账：SSD 工作按物理字节，复制按有效字节，共享命令成本按有效字节分摊。全局 SSD 工作与单卡复制工作使用不同并行范围。保留该 IOCB 的边际工作估计，供完成回调使用；完成后释放账本。</w:t>
      </w:r>
    </w:p>
    <w:p>
      <w:r>
        <w:t>每个缓存键维护跨时刻访问次数、EWMA 间隔及绝对偏差、最近需求、有复用证据的字节距离和提升预算。历史队列上限为 131072 条更新记录。相同到达时刻的重复不被当作独立周期复用证据。工作集压力只由跨时刻再次出现且可容纳的对象推进，一次性扫描不直接抹掉热点证据；这仍是对工作集的近似。间隔绝对偏差使新鲜度容忍观测到的到达抖动，稳定节奏下不会额外放宽。</w:t>
      </w:r>
    </w:p>
    <w:p>
      <w:pPr>
        <w:pStyle w:val="Heading2"/>
      </w:pPr>
      <w:r>
        <w:t>缓存准入和来源选择</w:t>
      </w:r>
    </w:p>
    <w:p>
      <w:r>
        <w:t>只有前台完整完成后才能发起提升。准入要求：至少两次有间隔的观测；整个对象不超过缓存池；间隔小于 TTL；最近需求没有超过 TTL，也没有超过估计访问间隔加两倍间隔绝对偏差；有复用证据的字节距离仍在容量范围内；没有相同键的缓存或在途提升。</w:t>
      </w:r>
    </w:p>
    <w:p>
      <w:r>
        <w:t>每次未来命中的边际收益，估计为省去的前台读取、复制和调用，减去命中 H2D 的时间与调用。收益必须为正。</w:t>
      </w:r>
    </w:p>
    <w:p>
      <w:r>
        <w:t>提升预算来自已观察到的同键读取工作量，按尚未记账的不同到达时刻累积，不用 TTL / 间隔外推固定数量的未来命中。实际缓存命中的完成反馈，可赚取不超过上次提升成本的后续预算。需求跨过容量或 TTL 边界时清除过时证据。预算本身来自代理估值，不是对实际总成本的竞争比保证。</w:t>
      </w:r>
    </w:p>
    <w:p>
      <w:r>
        <w:t>PROMOTE_SSD 与 PROMOTE_HBM 的选择比较当前队列下预计就绪成本。HBM 提升的排队压力按真实源卡统计，复制并发按该卡 D2H 限制；SSD 提升计全局 SSD 压力。来源就绪估计可以包含等待，准入新增服务成本不把同一队列等待重复收费。</w:t>
      </w:r>
    </w:p>
    <w:p>
      <w:pPr>
        <w:pStyle w:val="Heading2"/>
      </w:pPr>
      <w:r>
        <w:t>复杂度与资源边界</w:t>
      </w:r>
    </w:p>
    <w:p>
      <w:r>
        <w:t>设 V 为总 iov 数、B 为块数、W=128、L 为最终映射交集数。索引构建 O(V)，排序 O(B log B)，区间候选至多 O(BW)，所有者集合维护带对数因子，映射约 O(B log Vmax + L)。通常生成两种块长的计划；高 iov 输入受预算保护，不进入普通候选模拟。</w:t>
      </w:r>
    </w:p>
    <w:p>
      <w:r>
        <w:t>候选模拟的开销还取决于 SDK 中活动传输和完成事件数，不能把整个策略简写成 O(BW)。观察窗口、候选数、签名缓存和微批搜索均显式有界。完整进程仍包含 SDK 输入/输出 JSON、未完成请求和缓存状态，因此不是恒定内存算法。</w:t>
      </w:r>
    </w:p>
    <w:p>
      <w:pPr>
        <w:pStyle w:val="Heading2"/>
      </w:pPr>
      <w:r>
        <w:t>通用性原则</w:t>
      </w:r>
    </w:p>
    <w:p>
      <w:r>
        <w:t>带宽桶和固定调用成本来自公开规则，8 卡均衡是题面前提。对缓存过滤后的可见请求和运行队列，算法按实际设备与资源记账，不假定继续均衡。参数均为搜索预算、容量或规则导出的量，不按测试名称或精确资源组合切换特制策略。</w:t>
      </w:r>
    </w:p>
    <w:p>
      <w:r>
        <w:t>本方法面向确定性赛题模型，不宣称对任意未来后缀全局最优，也不保证每个输入都优于贪心。验证报告完整列出较差输入、独立分布和资源开销。</w:t>
      </w:r>
    </w:p>
    <w:p>
      <w:r>
        <w:br w:type="page"/>
      </w:r>
    </w:p>
    <w:p>
      <w:pPr>
        <w:pStyle w:val="Heading1"/>
      </w:pPr>
      <w:r>
        <w:t>通用性、边界条件与结论范围</w:t>
      </w:r>
    </w:p>
    <w:p>
      <w:pPr>
        <w:pStyle w:val="Heading2"/>
      </w:pPr>
      <w:r>
        <w:t>输入与运行前提</w:t>
      </w:r>
    </w:p>
    <w:p>
      <w:r>
        <w:t>以固定官方 SDK 的合法输入为准。题面主体为八卡等量、等离散度读取；额外的单卡、多卡、偏斜和超尺寸输入属于扩展压力验证，不混算官方公开成绩。地址、长度与时间须在 SDK 的有符号 64 位及溢出检查范围内。零长度、重复 ID、无序时间和非法资源由 SDK 拒绝，不承诺修复非法输入。</w:t>
      </w:r>
    </w:p>
    <w:p>
      <w:pPr>
        <w:pStyle w:val="Heading2"/>
      </w:pPr>
      <w:r>
        <w:t>数据覆盖和资源安全</w:t>
      </w:r>
    </w:p>
    <w:p>
      <w:r>
        <w:t>DIRECT 的对齐逐实际交集判断。AGGREGATE/FALLBACK 扩读 SSD 首尾只影响物理读取，目标 HBM 仅写有效字节。iov ID 可不连续；跨多个 iov 和不连续目标地址都按交集映射。重叠 SSD 读取可以共享物理读取，但不同逻辑请求仍各自完整覆盖。</w:t>
      </w:r>
    </w:p>
    <w:p>
      <w:r>
        <w:t>块长受临时池容量约束；累计读取超过池容量依赖完成释放后的循环复用。拆分 IOCB 不跨所有者合并，避免全局槽位循环等待。小池、单槽位、低复制并发、大 iov 和大地址均有专项检查。</w:t>
      </w:r>
    </w:p>
    <w:p>
      <w:pPr>
        <w:pStyle w:val="Heading2"/>
      </w:pPr>
      <w:r>
        <w:t>观察窗口的适用边界</w:t>
      </w:r>
    </w:p>
    <w:p>
      <w:r>
        <w:t>有限窗口能反映可见批次之间的流水竞争，但省略更早的未完成工作和缓存命中/后台流量。突然变化的工作负载可能使窗口比较滞后；窗口截断也可能改变候选排序。成本缓存仅用于无历史前缀的相同操作形状，不能当作对实时队列成本的缓存。</w:t>
      </w:r>
    </w:p>
    <w:p>
      <w:r>
        <w:t>搜索预算限制了候选数量、块长和分组范围，未枚举任意延迟启动、跨设备合并或任意大小块的全部可能方案。微批精确搜索只在受限可行候选内精确。资源代理和局部模拟都不构成全局最优性证明。</w:t>
      </w:r>
    </w:p>
    <w:p>
      <w:pPr>
        <w:pStyle w:val="Heading2"/>
      </w:pPr>
      <w:r>
        <w:t>缓存的不可避免取舍</w:t>
      </w:r>
    </w:p>
    <w:p>
      <w:r>
        <w:t>同一已知前缀可能随后持续复用，也可能停止。新鲜度和预算准入能限制过时投入，但仍可能有无效提升，也可能拒绝后来有收益的提升。拥塞导致完成回调很晚时，需求会过时；保守拒绝有助于保护尾部，但不保证未来热点一定被捕获。</w:t>
      </w:r>
    </w:p>
    <w:p>
      <w:r>
        <w:t>TTL 从提升完成起计算，命中刷新 LRU 而不延长 TTL。缓存键包含设备、SSD 起点和长度。容量不足时按 SDK 的过期清理和 LRU 规则驱逐；源路径选择不能改变这套语义。</w:t>
      </w:r>
    </w:p>
    <w:p>
      <w:pPr>
        <w:pStyle w:val="Heading2"/>
      </w:pPr>
      <w:r>
        <w:t>评估口径</w:t>
      </w:r>
    </w:p>
    <w:p>
      <w:r>
        <w:t>三次输出一致证明确定性，不代表三个独立负载样本；全部合法不代表成本全面占优。成本比按输入等权的几何均值不等于官方加权得分。官方冻结参考成本和官方贪心是两个不同对照。</w:t>
      </w:r>
    </w:p>
    <w:p>
      <w:r>
        <w:t>本包扩展数据有明确来源，其中一组独立家族在策略冻结后生成和测试，未用于本次选择。其余输入属于可见验证与回归集。独立家族仍是本地合成数据，不能代替真实隐藏集，也不能据此计算过拟合概率。</w:t>
      </w:r>
    </w:p>
    <w:p>
      <w:r>
        <w:t>SDK 的 promote_hit_rate 字段计算的是成功入缓存数 / 提升次数，并非后续复用命中率。评价缓存要联合 J、cache_hits、promote_count 和驱逐；有效带宽包含逻辑复用，不可直接当成 SSD 物理吞吐。</w:t>
      </w:r>
    </w:p>
    <w:p>
      <w:pPr>
        <w:pStyle w:val="Heading2"/>
      </w:pPr>
      <w:r>
        <w:t>扩大验证的方法</w:t>
      </w:r>
    </w:p>
    <w:p>
      <w:r>
        <w:t>先声明要检验的机制、固定参数、选择指标和拒绝标准；再冻结源码和数据哈希。按家族留出测试，加入资源组合、桶和容量边界、到达过程、热点迁移、长尾长度及缓存过滤偏斜。保持完整结果，包括回退；每次改动后重新分配未见测试来源，不能反复用同一保留集选参数。</w:t>
      </w:r>
    </w:p>
    <w:p>
      <w:r>
        <w:t>规模测试分别报告最大决策耗时、完整 player 耗时、validator 耗时边界和峰值 RSS。共享主机的墙钟观测不用于宣称真实硬件加速。百万请求与真实 NPU/NVMe 部署不属于本包已验证范围。</w:t>
      </w:r>
    </w:p>
    <w:p>
      <w:r>
        <w:br w:type="page"/>
      </w:r>
    </w:p>
    <w:p>
      <w:pPr>
        <w:pStyle w:val="Heading1"/>
      </w:pPr>
      <w:r>
        <w:t>验证报告</w:t>
      </w:r>
    </w:p>
    <w:p>
      <w:r>
        <w:t>本报告只对应随包唯一提交策略。源码 SHA256：6a30c42d1a939b131290c2802a1b2942fad991cc857dede96cbc3890b8cb22d6；官方 SDK 固定为 6b1666eb908a4cb55a84dc20832d9e57ffc1e4c4。原始公开输入、模拟器及冻结参考成本未修改。</w:t>
      </w:r>
    </w:p>
    <w:p>
      <w:pPr>
        <w:pStyle w:val="Heading2"/>
      </w:pPr>
      <w:r>
        <w:t>官方原始公开评分</w:t>
      </w:r>
    </w:p>
    <w:p>
      <w:r>
        <w:t>39条全部通过官方独立回放。自动分 89.9792/90，其中可行性20.0/20、优化59.9792/60、性能10.0/10。官方贪心为 67.1981/90。设计与可复现性另由评委评分10分，未自动计入；这不是隐藏集成绩或排名。</w:t>
      </w:r>
    </w:p>
    <w:p>
      <w:r>
        <w:t>每条优化分按60×min(1,参考J/方案J)加权。冻结参考J与官方贪心J不同。逐例结果见《官方公开集对照.csv》，包含超过参考结果后的同分排序收益和未封顶输入。</w:t>
      </w:r>
    </w:p>
    <w:p>
      <w:pPr>
        <w:pStyle w:val="Heading2"/>
      </w:pPr>
      <w:r>
        <w:t>合法性与确定性</w:t>
      </w:r>
    </w:p>
    <w:p>
      <w:r>
        <w:t>438条不同输入各运行三次，共 1314次提交策略运行及对应官方回放。每次均合法，同一输入三次完整输出SHA256一致。三次重复不是三个独立负载样本。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输入数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提交策略运行/回放次数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官方公开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资源覆盖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专项覆盖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分布验证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分布与尺寸边界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</w:tbl>
    <w:p>
      <w:r>
        <w:t>除官方39条外，其他399条为本地构建。318条使用官方生成器和显式后处理；33条协议级分布/尺寸边界、24条缓存与到达过程专项、24条随机更新/游走等家族独立构造。只有最后24条在此源码冻结后生成且未用于选择。其余数据为可见验证或回归材料，不能称未见测试。所有合成数据都不是主办方隐藏集。</w:t>
      </w:r>
    </w:p>
    <w:p>
      <w:pPr>
        <w:pStyle w:val="Heading2"/>
      </w:pPr>
      <w:r>
        <w:t>相对官方贪心的成本</w:t>
      </w:r>
    </w:p>
    <w:p>
      <w:r>
        <w:t>177条对照中，当前策略和官方贪心均有三次独立运行及回放证据。基线为同一固定二进制；已有确定性基线记录按二进制与输入哈希核验复用。仅比较模型J，不将记录中的墙钟时间用于加速比结论。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条数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更优 / 相同 / 更差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成本比几何均值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最大成本回退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94 / 0 / 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0.6118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独立分布（可见）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0.4046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+1.04%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范围内尺寸边界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 / 0 / 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1.0037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0 / 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0.9325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0.8559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+12.61%</w:t>
            </w:r>
          </w:p>
        </w:tc>
      </w:tr>
    </w:tbl>
    <w:p>
      <w:r>
        <w:t>成本比为方案J/贪心J。几何均值对输入等权，不是官方分数或总请求成本节省率。回归组含超出八卡及尺寸前提的扩展压力，不能混算正式评分。范围内的大块非对齐、扫描夹热点、到达抖动等均单独保留逐例结果。</w:t>
      </w:r>
    </w:p>
    <w:p>
      <w:r>
        <w:t>以下展示成本回退最大的输入；完整177条在《扩展成本对照.csv》，没有删除较差结果。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方案J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官方贪心J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成本变化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384592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315220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hot_cold_switch_9323.json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385375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330115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+16.74%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walking_hotspot_9511.json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132391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117563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length_1048576_batch_8.json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4141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3689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small_cache_hot_26112729.json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87355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81085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cache_visibility_9337.json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457552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429182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length_2097153_batch_8.json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7601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7157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+6.20%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small_cache_hot_26120131.json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95737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91166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+5.01%</w:t>
            </w:r>
          </w:p>
        </w:tc>
      </w:tr>
    </w:tbl>
    <w:p>
      <w:r>
        <w:t>有限窗口、省略的后台流量、固定候选集合以及缓存新鲜度/预算估值都会影响逐例结果。总体有收益不等于每个输入都更优，也不能证明不存在分布依赖。没有按文件名、题号或种子分支；仍不宣称全局最优或真实硬件性能保证。</w:t>
      </w:r>
    </w:p>
    <w:p>
      <w:pPr>
        <w:pStyle w:val="Heading2"/>
      </w:pPr>
      <w:r>
        <w:t>功能、边界与失败检测</w:t>
      </w:r>
    </w:p>
    <w:p>
      <w:r>
        <w:t>38项功能回归、74项边界/变形及4项评分失败门禁，共 116项检查通过；官方自带框架和生成器检查另通过。74项边界另用AddressSanitizer和UndefinedBehaviorSanitizer执行，没有检测到错误。</w:t>
      </w:r>
    </w:p>
    <w:p>
      <w:r>
        <w:t>覆盖包括512B边界、跨iov映射、非连续ID、重叠读、单槽位、小池、超过1GiB累计缓冲复用、真实插入/命中/过期、LRU、同前缀不同未来、名称/地址/时间变形、大iov与SDK拒绝非法输入。评分门禁验证进程成功退出时，非法结果、缺失输入、内存超限和资源失败仍会被拒绝。</w:t>
      </w:r>
    </w:p>
    <w:p>
      <w:pPr>
        <w:pStyle w:val="Heading2"/>
      </w:pPr>
      <w:r>
        <w:t>规模与资源</w:t>
      </w:r>
    </w:p>
    <w:p>
      <w:r>
        <w:t>以下两类100000请求各运行一次并独立回放，证明所测规模可行，不当作三次性能A/B。时间来自共享CPU主机，完整player时间不含validator；回调时间单列。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提升 / 命中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最大on_submit毫秒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完整player秒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峰值RSS MiB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834530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63.828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65.12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1208.7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306985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285.575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54.59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833.5</w:t>
            </w:r>
          </w:p>
        </w:tc>
      </w:tr>
    </w:tbl>
    <w:p>
      <w:r>
        <w:t>高iov三类分别为512MiB单IOCB/65536个iov/1MiB池、32768个短iov微批、八卡缓存过滤后的高iov可见请求。每类三次，均通过回放且输出一致。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三次最大on_submit毫秒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最大RSS MiB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many_iovs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51.162 / 50.993 / 50.614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118.7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micro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137.208 / 135.964 / 138.126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331.7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filtered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1316.281 / 1319.010 / 1321.250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2886.0</w:t>
            </w:r>
          </w:p>
        </w:tc>
      </w:tr>
    </w:tbl>
    <w:p>
      <w:r>
        <w:t>所测最大决策耗时1321.250ms，小于题面60000ms；所测profile最大RSS为2886.0MiB，小于16384MB限制。程序仍需保存SDK输入输出、未完成请求和缓存状态，不能据此宣称恒定内存或任意规模均安全。百万请求及真实NPU/NVMe部署未验证。</w:t>
      </w:r>
    </w:p>
    <w:p>
      <w:pPr>
        <w:pStyle w:val="Heading2"/>
      </w:pPr>
      <w:r>
        <w:t>指标与复现</w:t>
      </w:r>
    </w:p>
    <w:p>
      <w:r>
        <w:t>J是官方模型的时间加调用成本，非本机执行时长。promote_hit_rate字段实际为提升成功入缓存数/提升数，需结合cache_hits判断复用；逻辑有效带宽不等于SSD物理吞吐。</w:t>
      </w:r>
    </w:p>
    <w:p>
      <w:r>
        <w:t>run.py的quick、score、extended、compare、scale、demo分别复现对应检查。随包原始记录保存源码、输入和输出哈希。扩大测试时应另留新家族，不能反复使用同一留出集调参。Linux x86_64静态可执行程序及其manifest与本报告源码对应。</w:t>
      </w:r>
    </w:p>
    <w:p>
      <w:r>
        <w:br w:type="page"/>
      </w:r>
    </w:p>
    <w:p>
      <w:pPr>
        <w:pStyle w:val="Heading1"/>
      </w:pPr>
      <w:r>
        <w:t>构建、验证与扩大测试</w:t>
      </w:r>
    </w:p>
    <w:p>
      <w:pPr>
        <w:pStyle w:val="Heading2"/>
      </w:pPr>
      <w:r>
        <w:t>环境</w:t>
      </w:r>
    </w:p>
    <w:p>
      <w:r>
        <w:t>阅读和解压可以使用 Windows。源码构建和测试使用 Linux 或 WSL，依赖 C++17 编译器、make、Python 3.10或更高版本；运行策略不需要 GPU、网络或第三方 Python 包。随包另提供 Linux x86_64 静态可执行程序及 SHA256，可跳过编译运行单条输入。</w:t>
      </w:r>
    </w:p>
    <w:p>
      <w:pPr>
        <w:pStyle w:val="Heading2"/>
      </w:pPr>
      <w:r>
        <w:t>统一入口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build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extended</w:t>
      </w:r>
    </w:p>
    <w:p>
      <w:r>
        <w:rPr>
          <w:rFonts w:ascii="Courier New" w:hAnsi="Courier New"/>
          <w:sz w:val="16"/>
        </w:rPr>
        <w:t>python3 run.py compare</w:t>
      </w:r>
    </w:p>
    <w:p>
      <w:r>
        <w:rPr>
          <w:rFonts w:ascii="Courier New" w:hAnsi="Courier New"/>
          <w:sz w:val="16"/>
        </w:rPr>
        <w:t>python3 run.py scale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solve 输出决策、完成事件和指标，并独立回放；去掉 --prebuilt 时先从源码编译。quick 包含官方框架测试、38 项策略功能检查、74 项边界/变形检查和 4 项评分失败门禁检查。score 对39条官方原始输入计算提交策略与官方贪心分数。</w:t>
      </w:r>
    </w:p>
    <w:p>
      <w:r>
        <w:t>extended 默认对随包全部438条输入分别运行三次，逐次官方回放并比对输出哈希。compare 对回归、鲁棒性、缓存与到达过程、独立家族共177条输入比较当前策略与官方贪心，双方各三次。scale 对两类十万请求和三类高 iov 负载记录决策耗时与 RSS。完整组合可用 all，耗时明显长于 quick。</w:t>
      </w:r>
    </w:p>
    <w:p>
      <w:r>
        <w:t>结果默认写入新的“运行结果/UTC时间”目录；也可用 --output 指定目录。不要以新运行结果覆盖随包冻结证据。score 会检查每条状态、合法计数、资源评分和内存，即使官方评分脚本自身返回 0，也会拒绝失败结果。</w:t>
      </w:r>
    </w:p>
    <w:p>
      <w:pPr>
        <w:pStyle w:val="Heading2"/>
      </w:pPr>
      <w:r>
        <w:t>数据分组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目录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03_程序/data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官方原始公开评分输入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fixtures/resources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资源、冷热、拓扑等覆盖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fixtures/coverage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专项覆盖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fixtures/distribution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分布验证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fixtures/regression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可见回归对照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fixtures/robustness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独立协议生成的24条分布与9条尺寸边界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fixtures/cache_mix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缓存、到达过程和可见性专项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fixtures/blind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策略冻结后生成的随机更新与游走等独立家族</w:t>
            </w:r>
          </w:p>
        </w:tc>
      </w:tr>
    </w:tbl>
    <w:p>
      <w:r>
        <w:t>每组 manifest 保存输入 SHA256。部分扩展输入超出题面八卡/尺寸前提，只用于压力验证。独立家族与鲁棒性组不是官方隐藏集。</w:t>
      </w:r>
    </w:p>
    <w:p>
      <w:pPr>
        <w:pStyle w:val="Heading2"/>
      </w:pPr>
      <w:r>
        <w:t>新输入和更深入验证</w:t>
      </w:r>
    </w:p>
    <w:p>
      <w:r>
        <w:rPr>
          <w:rFonts w:ascii="Courier New" w:hAnsi="Courier New"/>
          <w:sz w:val="16"/>
        </w:rPr>
        <w:t>python3 04_测试复现/independent.py --code 03_程序 --output new_inputs --seeds 9401 9413 --submits 40 --per-card 32</w:t>
      </w:r>
    </w:p>
    <w:p>
      <w:r>
        <w:rPr>
          <w:rFonts w:ascii="Courier New" w:hAnsi="Courier New"/>
          <w:sz w:val="16"/>
        </w:rPr>
        <w:t>python3 run.py extended --data new_inputs --repeat 3</w:t>
      </w:r>
    </w:p>
    <w:p>
      <w:r>
        <w:rPr>
          <w:rFonts w:ascii="Courier New" w:hAnsi="Courier New"/>
          <w:sz w:val="16"/>
        </w:rPr>
        <w:t>python3 run.py compare --data new_inputs --repeat 3</w:t>
      </w:r>
    </w:p>
    <w:p>
      <w:r>
        <w:t>independent.py 和 renewal.py 不调用官方生成器；matrix.py 可使用官方生成器和显式后处理扩展其他家族。新种子仍可能属于同分布，因此应同时保留未参与选择的新家族或新数据来源。</w:t>
      </w:r>
    </w:p>
    <w:p>
      <w:r>
        <w:t>单条手工复现可在构建后运行：</w:t>
      </w:r>
    </w:p>
    <w:p>
      <w:r>
        <w:rPr>
          <w:rFonts w:ascii="Courier New" w:hAnsi="Courier New"/>
          <w:sz w:val="16"/>
        </w:rPr>
        <w:t>03_程序/nds_player input.json output.json</w:t>
      </w:r>
    </w:p>
    <w:p>
      <w:r>
        <w:rPr>
          <w:rFonts w:ascii="Courier New" w:hAnsi="Courier New"/>
          <w:sz w:val="16"/>
        </w:rPr>
        <w:t>03_程序/nds_validate input.json output.json</w:t>
      </w:r>
    </w:p>
    <w:p>
      <w:r>
        <w:t>禁止冻结或修改官方评分参考成本来“提高得分”。只看进程退出码、只看 promote_hit_rate、只看平均值都不足以判断收益。请保留源码哈希、输入哈希、完整逐例 J、回退、合法性和资源开销。</w:t>
      </w:r>
    </w:p>
    <w:p>
      <w:pPr>
        <w:pStyle w:val="Heading2"/>
      </w:pPr>
      <w:r>
        <w:t>交付与平台</w:t>
      </w:r>
    </w:p>
    <w:p>
      <w:r>
        <w:t>可执行程序对应随包唯一源码，放在03_程序/bin/linux-x86_64。ZIP 使用普通 DOS 文件属性，不依赖 Unix 解压权限；预编译入口校验哈希后，仅为包内程序恢复用户执行权限。Windows 原生不能直接运行 Linux ELF，请在 WSL 内运行。</w:t>
      </w:r>
    </w:p>
    <w:p>
      <w:r>
        <w:t>正式评测按最新官方 README 编译 player/solution.cpp 并链接主办方 SDK；题面要求的可执行程序也一并提供。官方 SDK、参考成本和原始公开数据保持原样；包装入口只增加失败检查。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NDS 解题方案与验证报告</dc:title>
  <dc:subject/>
  <dc:creator/>
  <cp:keywords/>
  <dc:description/>
  <cp:lastModifiedBy/>
  <cp:revision>1</cp:revision>
  <dcterms:created xsi:type="dcterms:W3CDTF">2026-10-29T19:09:13Z</dcterms:created>
  <dcterms:modified xsi:type="dcterms:W3CDTF">2026-10-29T19:09:13Z</dcterms:modified>
  <cp:category/>
</cp:coreProperties>
</file>