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验证报告</w:t>
      </w:r>
    </w:p>
    <w:p>
      <w:r>
        <w:t>本报告只对应随包唯一提交策略。源码 SHA256：6a30c42d1a939b131290c2802a1b2942fad991cc857dede96cbc3890b8cb22d6；官方 SDK 固定为 6b1666eb908a4cb55a84dc20832d9e57ffc1e4c4。原始公开输入、模拟器及冻结参考成本未修改。</w:t>
      </w:r>
    </w:p>
    <w:p>
      <w:pPr>
        <w:pStyle w:val="Heading2"/>
      </w:pPr>
      <w:r>
        <w:t>官方原始公开评分</w:t>
      </w:r>
    </w:p>
    <w:p>
      <w:r>
        <w:t>39条全部通过官方独立回放。自动分 89.9792/90，其中可行性20.0/20、优化59.9792/60、性能10.0/10。官方贪心为 67.1981/90。设计与可复现性另由评委评分10分，未自动计入；这不是隐藏集成绩或排名。</w:t>
      </w:r>
    </w:p>
    <w:p>
      <w:r>
        <w:t>每条优化分按60×min(1,参考J/方案J)加权。冻结参考J与官方贪心J不同。逐例结果见《官方公开集对照.csv》，包含超过参考结果后的同分排序收益和未封顶输入。</w:t>
      </w:r>
    </w:p>
    <w:p>
      <w:pPr>
        <w:pStyle w:val="Heading2"/>
      </w:pPr>
      <w:r>
        <w:t>合法性与确定性</w:t>
      </w:r>
    </w:p>
    <w:p>
      <w:r>
        <w:t>438条不同输入各运行三次，共 1314次提交策略运行及对应官方回放。每次均合法，同一输入三次完整输出SHA256一致。三次重复不是三个独立负载样本。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sz w:val="18"/>
              </w:rPr>
              <w:t>输入组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输入数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提交策略运行/回放次数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结果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官方公开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全部通过且输出一致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资源覆盖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216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全部通过且输出一致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专项覆盖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162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全部通过且输出一致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分布验证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288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全部通过且输出一致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回归对照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288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全部通过且输出一致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分布与尺寸边界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全部通过且输出一致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缓存与到达过程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全部通过且输出一致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冻结后独立家族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全部通过且输出一致</w:t>
            </w:r>
          </w:p>
        </w:tc>
      </w:tr>
    </w:tbl>
    <w:p>
      <w:r>
        <w:t>除官方39条外，其他399条为本地构建。318条使用官方生成器和显式后处理；33条协议级分布/尺寸边界、24条缓存与到达过程专项、24条随机更新/游走等家族独立构造。只有最后24条在此源码冻结后生成且未用于选择。其余数据为可见验证或回归材料，不能称未见测试。所有合成数据都不是主办方隐藏集。</w:t>
      </w:r>
    </w:p>
    <w:p>
      <w:pPr>
        <w:pStyle w:val="Heading2"/>
      </w:pPr>
      <w:r>
        <w:t>相对官方贪心的成本</w:t>
      </w:r>
    </w:p>
    <w:p>
      <w:r>
        <w:t>177条对照中，当前策略和官方贪心均有三次独立运行及回放证据。基线为同一固定二进制；已有确定性基线记录按二进制与输入哈希核验复用。仅比较模型J，不将记录中的墙钟时间用于加速比结论。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sz w:val="18"/>
              </w:rPr>
              <w:t>输入组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条数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更优 / 相同 / 更差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成本比几何均值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最大成本回退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回归对照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94 / 0 / 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0.6118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+7.73%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独立分布（可见）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23 / 0 / 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0.4046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+1.04%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范围内尺寸边界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 / 0 / 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1.0037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+12.25%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缓存与到达过程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17 / 0 / 7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0.9325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+22.01%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冻结后独立家族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23 / 0 / 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0.8559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+12.61%</w:t>
            </w:r>
          </w:p>
        </w:tc>
      </w:tr>
    </w:tbl>
    <w:p>
      <w:r>
        <w:t>成本比为方案J/贪心J。几何均值对输入等权，不是官方分数或总请求成本节省率。回归组含超出八卡及尺寸前提的扩展压力，不能混算正式评分。范围内的大块非对齐、扫描夹热点、到达抖动等均单独保留逐例结果。</w:t>
      </w:r>
    </w:p>
    <w:p>
      <w:r>
        <w:t>以下展示成本回退最大的输入；完整177条在《扩展成本对照.csv》，没有删除较差结果。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方案J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官方贪心J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成本变化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cache_visibility_9323.json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384592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315220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+22.01%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hot_cold_switch_9323.json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385375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330115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+16.74%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walking_hotspot_9511.json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132391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117563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+12.61%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length_1048576_batch_8.json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4141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3689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+12.25%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small_cache_hot_26112729.json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87355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81085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+7.73%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cache_visibility_9337.json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457552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429182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+6.61%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length_2097153_batch_8.json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7601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7157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+6.20%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small_cache_hot_26120131.json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95737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91166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+5.01%</w:t>
            </w:r>
          </w:p>
        </w:tc>
      </w:tr>
    </w:tbl>
    <w:p>
      <w:r>
        <w:t>有限窗口、省略的后台流量、固定候选集合以及缓存新鲜度/预算估值都会影响逐例结果。总体有收益不等于每个输入都更优，也不能证明不存在分布依赖。没有按文件名、题号或种子分支；仍不宣称全局最优或真实硬件性能保证。</w:t>
      </w:r>
    </w:p>
    <w:p>
      <w:pPr>
        <w:pStyle w:val="Heading2"/>
      </w:pPr>
      <w:r>
        <w:t>功能、边界与失败检测</w:t>
      </w:r>
    </w:p>
    <w:p>
      <w:r>
        <w:t>38项功能回归、74项边界/变形及4项评分失败门禁，共 116项检查通过；官方自带框架和生成器检查另通过。74项边界另用AddressSanitizer和UndefinedBehaviorSanitizer执行，没有检测到错误。</w:t>
      </w:r>
    </w:p>
    <w:p>
      <w:r>
        <w:t>覆盖包括512B边界、跨iov映射、非连续ID、重叠读、单槽位、小池、超过1GiB累计缓冲复用、真实插入/命中/过期、LRU、同前缀不同未来、名称/地址/时间变形、大iov与SDK拒绝非法输入。评分门禁验证进程成功退出时，非法结果、缺失输入、内存超限和资源失败仍会被拒绝。</w:t>
      </w:r>
    </w:p>
    <w:p>
      <w:pPr>
        <w:pStyle w:val="Heading2"/>
      </w:pPr>
      <w:r>
        <w:t>规模与资源</w:t>
      </w:r>
    </w:p>
    <w:p>
      <w:r>
        <w:t>以下两类100000请求各运行一次并独立回放，证明所测规模可行，不当作三次性能A/B。时间来自共享CPU主机，完整player时间不含validator；回调时间单列。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sz w:val="18"/>
              </w:rPr>
              <w:t>负载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J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提升 / 命中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最大on_submit毫秒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完整player秒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峰值RSS MiB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mixed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834530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0 / 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63.828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65.12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1208.7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phase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306985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0 / 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285.575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54.59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833.5</w:t>
            </w:r>
          </w:p>
        </w:tc>
      </w:tr>
    </w:tbl>
    <w:p>
      <w:r>
        <w:t>高iov三类分别为512MiB单IOCB/65536个iov/1MiB池、32768个短iov微批、八卡缓存过滤后的高iov可见请求。每类三次，均通过回放且输出一致。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8"/>
              </w:rPr>
              <w:t>负载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三次最大on_submit毫秒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最大RSS MiB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many_iovs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51.162 / 50.993 / 50.614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118.7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micro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137.208 / 135.964 / 138.126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331.7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filtered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1316.281 / 1319.010 / 1321.250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2886.0</w:t>
            </w:r>
          </w:p>
        </w:tc>
      </w:tr>
    </w:tbl>
    <w:p>
      <w:r>
        <w:t>所测最大决策耗时1321.250ms，小于题面60000ms；所测profile最大RSS为2886.0MiB，小于16384MB限制。程序仍需保存SDK输入输出、未完成请求和缓存状态，不能据此宣称恒定内存或任意规模均安全。百万请求及真实NPU/NVMe部署未验证。</w:t>
      </w:r>
    </w:p>
    <w:p>
      <w:pPr>
        <w:pStyle w:val="Heading2"/>
      </w:pPr>
      <w:r>
        <w:t>指标与复现</w:t>
      </w:r>
    </w:p>
    <w:p>
      <w:r>
        <w:t>J是官方模型的时间加调用成本，非本机执行时长。promote_hit_rate字段实际为提升成功入缓存数/提升数，需结合cache_hits判断复用；逻辑有效带宽不等于SSD物理吞吐。</w:t>
      </w:r>
    </w:p>
    <w:p>
      <w:r>
        <w:t>run.py的quick、score、extended、compare、scale、demo分别复现对应检查。随包原始记录保存源码、输入和输出哈希。扩大测试时应另留新家族，不能反复使用同一留出集调参。Linux x86_64静态可执行程序及其manifest与本报告源码对应。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NDS 多路径IO分配聚合与缓存提升调度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验证报告</dc:title>
  <dc:subject/>
  <dc:creator/>
  <cp:keywords/>
  <dc:description/>
  <cp:lastModifiedBy/>
  <cp:revision>1</cp:revision>
  <dcterms:created xsi:type="dcterms:W3CDTF">2026-10-29T19:09:13Z</dcterms:created>
  <dcterms:modified xsi:type="dcterms:W3CDTF">2026-10-29T19:09:13Z</dcterms:modified>
  <cp:category/>
</cp:coreProperties>
</file>