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rFonts w:ascii="Calibri" w:cs="Calibri" w:eastAsia="Calibri" w:hAnsi="Calibri"/>
          <w:b/>
          <w:bCs/>
          <w:color w:val="1B2733"/>
          <w:sz w:val="22"/>
          <w:szCs w:val="22"/>
        </w:rPr>
        <w:t xml:space="preserve">To:</w:t>
      </w:r>
      <w:r>
        <w:rPr>
          <w:rFonts w:ascii="Calibri" w:cs="Calibri" w:eastAsia="Calibri" w:hAnsi="Calibri"/>
          <w:b w:val="false"/>
          <w:bCs w:val="false"/>
          <w:color w:val="1B2733"/>
          <w:sz w:val="22"/>
          <w:szCs w:val="22"/>
        </w:rPr>
        <w:t xml:space="preserve"> Luis; Adam Snyder; Jason; Viren; Saroj</w:t>
      </w:r>
      <w:r>
        <w:br/>
      </w:r>
      <w:r>
        <w:rPr>
          <w:rFonts w:ascii="Calibri" w:cs="Calibri" w:eastAsia="Calibri" w:hAnsi="Calibri"/>
          <w:b/>
          <w:bCs/>
          <w:color w:val="1B2733"/>
          <w:sz w:val="22"/>
          <w:szCs w:val="22"/>
        </w:rPr>
        <w:t xml:space="preserve">Cc:</w:t>
      </w:r>
      <w:r>
        <w:rPr>
          <w:rFonts w:ascii="Calibri" w:cs="Calibri" w:eastAsia="Calibri" w:hAnsi="Calibri"/>
          <w:b w:val="false"/>
          <w:bCs w:val="false"/>
          <w:color w:val="1B2733"/>
          <w:sz w:val="22"/>
          <w:szCs w:val="22"/>
        </w:rPr>
        <w:t xml:space="preserve"> Lee Arnold</w:t>
      </w:r>
      <w:r>
        <w:br/>
      </w:r>
      <w:r>
        <w:rPr>
          <w:rFonts w:ascii="Calibri" w:cs="Calibri" w:eastAsia="Calibri" w:hAnsi="Calibri"/>
          <w:b/>
          <w:bCs/>
          <w:color w:val="1B2733"/>
          <w:sz w:val="22"/>
          <w:szCs w:val="22"/>
        </w:rPr>
        <w:t xml:space="preserve">Subject:</w:t>
      </w:r>
      <w:r>
        <w:rPr>
          <w:rFonts w:ascii="Calibri" w:cs="Calibri" w:eastAsia="Calibri" w:hAnsi="Calibri"/>
          <w:b w:val="false"/>
          <w:bCs w:val="false"/>
          <w:color w:val="1B2733"/>
          <w:sz w:val="22"/>
          <w:szCs w:val="22"/>
        </w:rPr>
        <w:t xml:space="preserve"> SACRED: notes from the 1 October meeting, actions and the updated documents</w:t>
      </w:r>
      <w:r>
        <w:br/>
      </w:r>
      <w:r>
        <w:rPr>
          <w:rFonts w:ascii="Calibri" w:cs="Calibri" w:eastAsia="Calibri" w:hAnsi="Calibri"/>
          <w:b/>
          <w:bCs/>
          <w:color w:val="1B2733"/>
          <w:sz w:val="22"/>
          <w:szCs w:val="22"/>
        </w:rPr>
        <w:t xml:space="preserve">Attach:</w:t>
      </w:r>
      <w:r>
        <w:rPr>
          <w:rFonts w:ascii="Calibri" w:cs="Calibri" w:eastAsia="Calibri" w:hAnsi="Calibri"/>
          <w:b w:val="false"/>
          <w:bCs w:val="false"/>
          <w:color w:val="1B2733"/>
          <w:sz w:val="22"/>
          <w:szCs w:val="22"/>
        </w:rPr>
        <w:t xml:space="preserve"> Operation_Readiness_Review_ORR_Checklist_SACRED_v2.xlsx; SACRED-to-Production-Programme-Chart-2026-10-01.pdf (draft 5); SACRED-What-It-Is-Made-Of.pdf</w:t>
      </w:r>
    </w:p>
    <w:p>
      <w:pPr>
        <w:pBdr>
          <w:bottom w:val="single" w:color="EDB71E" w:sz="6" w:space="1"/>
        </w:pBdr>
        <w:spacing w:after="160"/>
      </w:pPr>
    </w:p>
    <w:p>
      <w:pPr>
        <w:spacing w:after="120" w:line="276"/>
      </w:pPr>
      <w:r>
        <w:rPr>
          <w:rFonts w:ascii="Calibri" w:cs="Calibri" w:eastAsia="Calibri" w:hAnsi="Calibri"/>
          <w:b w:val="false"/>
          <w:bCs w:val="false"/>
          <w:color w:val="1B2733"/>
          <w:sz w:val="22"/>
          <w:szCs w:val="22"/>
        </w:rPr>
        <w:t xml:space="preserve">All,</w:t>
      </w:r>
    </w:p>
    <w:p>
      <w:pPr>
        <w:spacing w:after="120" w:line="276"/>
      </w:pPr>
      <w:r>
        <w:rPr>
          <w:rFonts w:ascii="Calibri" w:cs="Calibri" w:eastAsia="Calibri" w:hAnsi="Calibri"/>
          <w:b w:val="false"/>
          <w:bCs w:val="false"/>
          <w:color w:val="1B2733"/>
          <w:sz w:val="22"/>
          <w:szCs w:val="22"/>
        </w:rPr>
        <w:t xml:space="preserve">Thank you for yesterday. Below are the notes as circulated, with the actions and the three updated documents attached: the Operational Readiness checklist (v2, updated this morning), the programme chart (draft 5, with yesterday's outcomes added), and a one-page description of what SACRED is made of, for the UAT and migration work.</w:t>
      </w:r>
    </w:p>
    <w:p>
      <w:pPr>
        <w:spacing w:after="80" w:before="200"/>
      </w:pPr>
      <w:r>
        <w:rPr>
          <w:rFonts w:ascii="Calibri" w:cs="Calibri" w:eastAsia="Calibri" w:hAnsi="Calibri"/>
          <w:b/>
          <w:bCs/>
          <w:color w:val="002C77"/>
          <w:sz w:val="24"/>
          <w:szCs w:val="24"/>
        </w:rPr>
        <w:t xml:space="preserve">SACRED support status</w:t>
      </w:r>
    </w:p>
    <w:p>
      <w:pPr>
        <w:pStyle w:val="ListParagraph"/>
        <w:numPr>
          <w:ilvl w:val="0"/>
          <w:numId w:val="1"/>
        </w:numPr>
        <w:spacing w:after="60" w:line="264"/>
      </w:pPr>
      <w:r>
        <w:rPr>
          <w:rFonts w:ascii="Calibri" w:cs="Calibri" w:eastAsia="Calibri" w:hAnsi="Calibri"/>
          <w:b w:val="false"/>
          <w:bCs w:val="false"/>
          <w:color w:val="1B2733"/>
          <w:sz w:val="22"/>
          <w:szCs w:val="22"/>
        </w:rPr>
        <w:t xml:space="preserve">SACRED is currently running in a sandbox, not production.</w:t>
      </w:r>
    </w:p>
    <w:p>
      <w:pPr>
        <w:pStyle w:val="ListParagraph"/>
        <w:numPr>
          <w:ilvl w:val="0"/>
          <w:numId w:val="1"/>
        </w:numPr>
        <w:spacing w:after="60" w:line="264"/>
      </w:pPr>
      <w:r>
        <w:rPr>
          <w:rFonts w:ascii="Calibri" w:cs="Calibri" w:eastAsia="Calibri" w:hAnsi="Calibri"/>
          <w:b w:val="false"/>
          <w:bCs w:val="false"/>
          <w:color w:val="1B2733"/>
          <w:sz w:val="22"/>
          <w:szCs w:val="22"/>
        </w:rPr>
        <w:t xml:space="preserve">No formal support capability; current support is "best effort".</w:t>
      </w:r>
    </w:p>
    <w:p>
      <w:pPr>
        <w:pStyle w:val="ListParagraph"/>
        <w:numPr>
          <w:ilvl w:val="0"/>
          <w:numId w:val="1"/>
        </w:numPr>
        <w:spacing w:after="60" w:line="264"/>
      </w:pPr>
      <w:r>
        <w:rPr>
          <w:rFonts w:ascii="Calibri" w:cs="Calibri" w:eastAsia="Calibri" w:hAnsi="Calibri"/>
          <w:b w:val="false"/>
          <w:bCs w:val="false"/>
          <w:color w:val="1B2733"/>
          <w:sz w:val="22"/>
          <w:szCs w:val="22"/>
        </w:rPr>
        <w:t xml:space="preserve">Operational Readiness Review and project plan completed and shared.</w:t>
      </w:r>
    </w:p>
    <w:p>
      <w:pPr>
        <w:pStyle w:val="ListParagraph"/>
        <w:numPr>
          <w:ilvl w:val="0"/>
          <w:numId w:val="1"/>
        </w:numPr>
        <w:spacing w:after="60" w:line="264"/>
      </w:pPr>
      <w:r>
        <w:rPr>
          <w:rFonts w:ascii="Calibri" w:cs="Calibri" w:eastAsia="Calibri" w:hAnsi="Calibri"/>
          <w:b w:val="false"/>
          <w:bCs w:val="false"/>
          <w:color w:val="1B2733"/>
          <w:sz w:val="22"/>
          <w:szCs w:val="22"/>
        </w:rPr>
        <w:t xml:space="preserve">Multiple rigs have intermittent access due to selective test provisioning.</w:t>
      </w:r>
    </w:p>
    <w:p>
      <w:pPr>
        <w:spacing w:after="80" w:before="200"/>
      </w:pPr>
      <w:r>
        <w:rPr>
          <w:rFonts w:ascii="Calibri" w:cs="Calibri" w:eastAsia="Calibri" w:hAnsi="Calibri"/>
          <w:b/>
          <w:bCs/>
          <w:color w:val="002C77"/>
          <w:sz w:val="24"/>
          <w:szCs w:val="24"/>
        </w:rPr>
        <w:t xml:space="preserve">Production readiness and timeline</w:t>
      </w:r>
    </w:p>
    <w:p>
      <w:pPr>
        <w:pStyle w:val="ListParagraph"/>
        <w:numPr>
          <w:ilvl w:val="0"/>
          <w:numId w:val="1"/>
        </w:numPr>
        <w:spacing w:after="60" w:line="264"/>
      </w:pPr>
      <w:r>
        <w:rPr>
          <w:rFonts w:ascii="Calibri" w:cs="Calibri" w:eastAsia="Calibri" w:hAnsi="Calibri"/>
          <w:b w:val="false"/>
          <w:bCs w:val="false"/>
          <w:color w:val="1B2733"/>
          <w:sz w:val="22"/>
          <w:szCs w:val="22"/>
        </w:rPr>
        <w:t xml:space="preserve">Target production go-live planned for February 2027.</w:t>
      </w:r>
    </w:p>
    <w:p>
      <w:pPr>
        <w:pStyle w:val="ListParagraph"/>
        <w:numPr>
          <w:ilvl w:val="0"/>
          <w:numId w:val="1"/>
        </w:numPr>
        <w:spacing w:after="60" w:line="264"/>
      </w:pPr>
      <w:r>
        <w:rPr>
          <w:rFonts w:ascii="Calibri" w:cs="Calibri" w:eastAsia="Calibri" w:hAnsi="Calibri"/>
          <w:b w:val="false"/>
          <w:bCs w:val="false"/>
          <w:color w:val="1B2733"/>
          <w:sz w:val="22"/>
          <w:szCs w:val="22"/>
        </w:rPr>
        <w:t xml:space="preserve">Full ISIT support expected once in production (budget release January 2027).</w:t>
      </w:r>
    </w:p>
    <w:p>
      <w:pPr>
        <w:pStyle w:val="ListParagraph"/>
        <w:numPr>
          <w:ilvl w:val="0"/>
          <w:numId w:val="1"/>
        </w:numPr>
        <w:spacing w:after="60" w:line="264"/>
      </w:pPr>
      <w:r>
        <w:rPr>
          <w:rFonts w:ascii="Calibri" w:cs="Calibri" w:eastAsia="Calibri" w:hAnsi="Calibri"/>
          <w:b w:val="false"/>
          <w:bCs w:val="false"/>
          <w:color w:val="1B2733"/>
          <w:sz w:val="22"/>
          <w:szCs w:val="22"/>
        </w:rPr>
        <w:t xml:space="preserve">Production readiness gaps identified: infrastructure, hosting, backups, DNS and ServiceNow support queues; monitoring, observability, logging, auditing, SAML and integrations; application supportability, database management and SDLC controls.</w:t>
      </w:r>
    </w:p>
    <w:p>
      <w:pPr>
        <w:pStyle w:val="ListParagraph"/>
        <w:numPr>
          <w:ilvl w:val="0"/>
          <w:numId w:val="1"/>
        </w:numPr>
        <w:spacing w:after="60" w:line="264"/>
      </w:pPr>
      <w:r>
        <w:rPr>
          <w:rFonts w:ascii="Calibri" w:cs="Calibri" w:eastAsia="Calibri" w:hAnsi="Calibri"/>
          <w:b w:val="false"/>
          <w:bCs w:val="false"/>
          <w:color w:val="1B2733"/>
          <w:sz w:val="22"/>
          <w:szCs w:val="22"/>
        </w:rPr>
        <w:t xml:space="preserve">Significant development and security work required before formal handover.</w:t>
      </w:r>
    </w:p>
    <w:p>
      <w:pPr>
        <w:spacing w:after="80" w:before="200"/>
      </w:pPr>
      <w:r>
        <w:rPr>
          <w:rFonts w:ascii="Calibri" w:cs="Calibri" w:eastAsia="Calibri" w:hAnsi="Calibri"/>
          <w:b/>
          <w:bCs/>
          <w:color w:val="002C77"/>
          <w:sz w:val="24"/>
          <w:szCs w:val="24"/>
        </w:rPr>
        <w:t xml:space="preserve">Lovable migration option</w:t>
      </w:r>
    </w:p>
    <w:p>
      <w:pPr>
        <w:pStyle w:val="ListParagraph"/>
        <w:numPr>
          <w:ilvl w:val="0"/>
          <w:numId w:val="1"/>
        </w:numPr>
        <w:spacing w:after="60" w:line="264"/>
      </w:pPr>
      <w:r>
        <w:rPr>
          <w:rFonts w:ascii="Calibri" w:cs="Calibri" w:eastAsia="Calibri" w:hAnsi="Calibri"/>
          <w:b w:val="false"/>
          <w:bCs w:val="false"/>
          <w:color w:val="1B2733"/>
          <w:sz w:val="22"/>
          <w:szCs w:val="22"/>
        </w:rPr>
        <w:t xml:space="preserve">Migration to the Lovable platform proposed to reduce infrastructure and integration work.</w:t>
      </w:r>
    </w:p>
    <w:p>
      <w:pPr>
        <w:pStyle w:val="ListParagraph"/>
        <w:numPr>
          <w:ilvl w:val="0"/>
          <w:numId w:val="1"/>
        </w:numPr>
        <w:spacing w:after="60" w:line="264"/>
      </w:pPr>
      <w:r>
        <w:rPr>
          <w:rFonts w:ascii="Calibri" w:cs="Calibri" w:eastAsia="Calibri" w:hAnsi="Calibri"/>
          <w:b w:val="false"/>
          <w:bCs w:val="false"/>
          <w:color w:val="1B2733"/>
          <w:sz w:val="22"/>
          <w:szCs w:val="22"/>
        </w:rPr>
        <w:t xml:space="preserve">Lovable licences have been procured; Viren is the owner of that platform.</w:t>
      </w:r>
    </w:p>
    <w:p>
      <w:pPr>
        <w:pStyle w:val="ListParagraph"/>
        <w:numPr>
          <w:ilvl w:val="0"/>
          <w:numId w:val="1"/>
        </w:numPr>
        <w:spacing w:after="60" w:line="264"/>
      </w:pPr>
      <w:r>
        <w:rPr>
          <w:rFonts w:ascii="Calibri" w:cs="Calibri" w:eastAsia="Calibri" w:hAnsi="Calibri"/>
          <w:b w:val="false"/>
          <w:bCs w:val="false"/>
          <w:color w:val="1B2733"/>
          <w:sz w:val="22"/>
          <w:szCs w:val="22"/>
        </w:rPr>
        <w:t xml:space="preserve">Migration expected to reduce support and documentation overhead in production.</w:t>
      </w:r>
    </w:p>
    <w:p>
      <w:pPr>
        <w:spacing w:after="80" w:before="200"/>
      </w:pPr>
      <w:r>
        <w:rPr>
          <w:rFonts w:ascii="Calibri" w:cs="Calibri" w:eastAsia="Calibri" w:hAnsi="Calibri"/>
          <w:b/>
          <w:bCs/>
          <w:color w:val="002C77"/>
          <w:sz w:val="24"/>
          <w:szCs w:val="24"/>
        </w:rPr>
        <w:t xml:space="preserve">UAT and testing environment</w:t>
      </w:r>
    </w:p>
    <w:p>
      <w:pPr>
        <w:pStyle w:val="ListParagraph"/>
        <w:numPr>
          <w:ilvl w:val="0"/>
          <w:numId w:val="1"/>
        </w:numPr>
        <w:spacing w:after="60" w:line="264"/>
      </w:pPr>
      <w:r>
        <w:rPr>
          <w:rFonts w:ascii="Calibri" w:cs="Calibri" w:eastAsia="Calibri" w:hAnsi="Calibri"/>
          <w:b w:val="false"/>
          <w:bCs w:val="false"/>
          <w:color w:val="1B2733"/>
          <w:sz w:val="22"/>
          <w:szCs w:val="22"/>
        </w:rPr>
        <w:t xml:space="preserve">A UAT environment is agreed as the immediate next step for wider testing.</w:t>
      </w:r>
    </w:p>
    <w:p>
      <w:pPr>
        <w:pStyle w:val="ListParagraph"/>
        <w:numPr>
          <w:ilvl w:val="0"/>
          <w:numId w:val="1"/>
        </w:numPr>
        <w:spacing w:after="60" w:line="264"/>
      </w:pPr>
      <w:r>
        <w:rPr>
          <w:rFonts w:ascii="Calibri" w:cs="Calibri" w:eastAsia="Calibri" w:hAnsi="Calibri"/>
          <w:b w:val="false"/>
          <w:bCs w:val="false"/>
          <w:color w:val="1B2733"/>
          <w:sz w:val="22"/>
          <w:szCs w:val="22"/>
        </w:rPr>
        <w:t xml:space="preserve">UAT will be supported on a best-effort basis until formal production handover.</w:t>
      </w:r>
    </w:p>
    <w:p>
      <w:pPr>
        <w:pStyle w:val="ListParagraph"/>
        <w:numPr>
          <w:ilvl w:val="0"/>
          <w:numId w:val="1"/>
        </w:numPr>
        <w:spacing w:after="60" w:line="264"/>
      </w:pPr>
      <w:r>
        <w:rPr>
          <w:rFonts w:ascii="Calibri" w:cs="Calibri" w:eastAsia="Calibri" w:hAnsi="Calibri"/>
          <w:b w:val="false"/>
          <w:bCs w:val="false"/>
          <w:color w:val="1B2733"/>
          <w:sz w:val="22"/>
          <w:szCs w:val="22"/>
        </w:rPr>
        <w:t xml:space="preserve">Wider vessel testing is intended to produce clearer support and resource requirements.</w:t>
      </w:r>
    </w:p>
    <w:p>
      <w:pPr>
        <w:pStyle w:val="ListParagraph"/>
        <w:numPr>
          <w:ilvl w:val="0"/>
          <w:numId w:val="1"/>
        </w:numPr>
        <w:spacing w:after="60" w:line="264"/>
      </w:pPr>
      <w:r>
        <w:rPr>
          <w:rFonts w:ascii="Calibri" w:cs="Calibri" w:eastAsia="Calibri" w:hAnsi="Calibri"/>
          <w:b w:val="false"/>
          <w:bCs w:val="false"/>
          <w:color w:val="1B2733"/>
          <w:sz w:val="22"/>
          <w:szCs w:val="22"/>
        </w:rPr>
        <w:t xml:space="preserve">Heavy reporting load is expected during specific operational windows (7 to 10 day periods).</w:t>
      </w:r>
    </w:p>
    <w:p>
      <w:pPr>
        <w:spacing w:after="80" w:before="200"/>
      </w:pPr>
      <w:r>
        <w:rPr>
          <w:rFonts w:ascii="Calibri" w:cs="Calibri" w:eastAsia="Calibri" w:hAnsi="Calibri"/>
          <w:b/>
          <w:bCs/>
          <w:color w:val="002C77"/>
          <w:sz w:val="24"/>
          <w:szCs w:val="24"/>
        </w:rPr>
        <w:t xml:space="preserve">Next steps</w:t>
      </w:r>
    </w:p>
    <w:tbl>
      <w:tblPr>
        <w:tblW w:type="pct" w:w="5000"/>
        <w:tblBorders>
          <w:top w:val="single" w:color="C9D4EA" w:sz="4"/>
          <w:left w:val="single" w:color="C9D4EA" w:sz="4"/>
          <w:bottom w:val="single" w:color="C9D4EA" w:sz="4"/>
          <w:right w:val="single" w:color="C9D4EA" w:sz="4"/>
          <w:insideH w:val="single" w:color="C9D4EA" w:sz="4"/>
          <w:insideV w:val="single" w:color="C9D4EA" w:sz="4"/>
        </w:tblBorders>
      </w:tblPr>
      <w:tblGrid>
        <w:gridCol w:w="3235"/>
        <w:gridCol w:w="3235"/>
        <w:gridCol w:w="3235"/>
      </w:tblGrid>
      <w:tr>
        <w:trPr>
          <w:tblHeader/>
        </w:trPr>
        <w:tc>
          <w:tcPr>
            <w:shd w:fill="002C77"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Who</w:t>
            </w:r>
          </w:p>
        </w:tc>
        <w:tc>
          <w:tcPr>
            <w:shd w:fill="002C77"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Action</w:t>
            </w:r>
          </w:p>
        </w:tc>
        <w:tc>
          <w:tcPr>
            <w:shd w:fill="002C77"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When</w:t>
            </w:r>
          </w:p>
        </w:tc>
      </w:tr>
      <w:tr>
        <w:trPr>
          <w:tblHeader w:val="off"/>
        </w:trPr>
        <w:tc>
          <w:tcPr>
            <w:tcMar>
              <w:top w:type="dxa" w:w="60"/>
              <w:left w:type="dxa" w:w="90"/>
              <w:bottom w:type="dxa" w:w="60"/>
              <w:right w:type="dxa" w:w="90"/>
            </w:tcMar>
          </w:tcPr>
          <w:p>
            <w:pPr>
              <w:spacing w:after="0" w:line="252"/>
            </w:pPr>
            <w:r>
              <w:rPr>
                <w:rFonts w:ascii="Calibri" w:cs="Calibri" w:eastAsia="Calibri" w:hAnsi="Calibri"/>
                <w:b w:val="false"/>
                <w:bCs w:val="false"/>
                <w:color w:val="1B2733"/>
                <w:sz w:val="19"/>
                <w:szCs w:val="19"/>
              </w:rPr>
              <w:t xml:space="preserve">Adam</w:t>
            </w:r>
          </w:p>
        </w:tc>
        <w:tc>
          <w:tcPr>
            <w:tcMar>
              <w:top w:type="dxa" w:w="60"/>
              <w:left w:type="dxa" w:w="90"/>
              <w:bottom w:type="dxa" w:w="60"/>
              <w:right w:type="dxa" w:w="90"/>
            </w:tcMar>
          </w:tcPr>
          <w:p>
            <w:pPr>
              <w:spacing w:after="0" w:line="252"/>
            </w:pPr>
            <w:r>
              <w:rPr>
                <w:rFonts w:ascii="Calibri" w:cs="Calibri" w:eastAsia="Calibri" w:hAnsi="Calibri"/>
                <w:b w:val="false"/>
                <w:bCs w:val="false"/>
                <w:color w:val="1B2733"/>
                <w:sz w:val="19"/>
                <w:szCs w:val="19"/>
              </w:rPr>
              <w:t xml:space="preserve">Estimated effort and requirements to build the UAT environment</w:t>
            </w:r>
          </w:p>
        </w:tc>
        <w:tc>
          <w:tcPr>
            <w:tcMar>
              <w:top w:type="dxa" w:w="60"/>
              <w:left w:type="dxa" w:w="90"/>
              <w:bottom w:type="dxa" w:w="60"/>
              <w:right w:type="dxa" w:w="90"/>
            </w:tcMar>
          </w:tcPr>
          <w:p>
            <w:pPr>
              <w:spacing w:after="0" w:line="252"/>
            </w:pPr>
            <w:r>
              <w:rPr>
                <w:rFonts w:ascii="Calibri" w:cs="Calibri" w:eastAsia="Calibri" w:hAnsi="Calibri"/>
                <w:b w:val="false"/>
                <w:bCs w:val="false"/>
                <w:color w:val="1B2733"/>
                <w:sz w:val="19"/>
                <w:szCs w:val="19"/>
              </w:rPr>
              <w:t xml:space="preserve">next week</w:t>
            </w:r>
          </w:p>
        </w:tc>
      </w:tr>
      <w:tr>
        <w:trPr>
          <w:tblHeader w:val="off"/>
        </w:trPr>
        <w:tc>
          <w:tcPr>
            <w:tcMar>
              <w:top w:type="dxa" w:w="60"/>
              <w:left w:type="dxa" w:w="90"/>
              <w:bottom w:type="dxa" w:w="60"/>
              <w:right w:type="dxa" w:w="90"/>
            </w:tcMar>
          </w:tcPr>
          <w:p>
            <w:pPr>
              <w:spacing w:after="0" w:line="252"/>
            </w:pPr>
            <w:r>
              <w:rPr>
                <w:rFonts w:ascii="Calibri" w:cs="Calibri" w:eastAsia="Calibri" w:hAnsi="Calibri"/>
                <w:b w:val="false"/>
                <w:bCs w:val="false"/>
                <w:color w:val="1B2733"/>
                <w:sz w:val="19"/>
                <w:szCs w:val="19"/>
              </w:rPr>
              <w:t xml:space="preserve">Adam, Daniel</w:t>
            </w:r>
          </w:p>
        </w:tc>
        <w:tc>
          <w:tcPr>
            <w:tcMar>
              <w:top w:type="dxa" w:w="60"/>
              <w:left w:type="dxa" w:w="90"/>
              <w:bottom w:type="dxa" w:w="60"/>
              <w:right w:type="dxa" w:w="90"/>
            </w:tcMar>
          </w:tcPr>
          <w:p>
            <w:pPr>
              <w:spacing w:after="0" w:line="252"/>
            </w:pPr>
            <w:r>
              <w:rPr>
                <w:rFonts w:ascii="Calibri" w:cs="Calibri" w:eastAsia="Calibri" w:hAnsi="Calibri"/>
                <w:b w:val="false"/>
                <w:bCs w:val="false"/>
                <w:color w:val="1B2733"/>
                <w:sz w:val="19"/>
                <w:szCs w:val="19"/>
              </w:rPr>
              <w:t xml:space="preserve">Meet in Houston to define UAT requirements and testers</w:t>
            </w:r>
          </w:p>
        </w:tc>
        <w:tc>
          <w:tcPr>
            <w:tcMar>
              <w:top w:type="dxa" w:w="60"/>
              <w:left w:type="dxa" w:w="90"/>
              <w:bottom w:type="dxa" w:w="60"/>
              <w:right w:type="dxa" w:w="90"/>
            </w:tcMar>
          </w:tcPr>
          <w:p>
            <w:pPr>
              <w:spacing w:after="0" w:line="252"/>
            </w:pPr>
            <w:r>
              <w:rPr>
                <w:rFonts w:ascii="Calibri" w:cs="Calibri" w:eastAsia="Calibri" w:hAnsi="Calibri"/>
                <w:b w:val="false"/>
                <w:bCs w:val="false"/>
                <w:color w:val="1B2733"/>
                <w:sz w:val="19"/>
                <w:szCs w:val="19"/>
              </w:rPr>
              <w:t xml:space="preserve">next week</w:t>
            </w:r>
          </w:p>
        </w:tc>
      </w:tr>
      <w:tr>
        <w:trPr>
          <w:tblHeader w:val="off"/>
        </w:trPr>
        <w:tc>
          <w:tcPr>
            <w:tcMar>
              <w:top w:type="dxa" w:w="60"/>
              <w:left w:type="dxa" w:w="90"/>
              <w:bottom w:type="dxa" w:w="60"/>
              <w:right w:type="dxa" w:w="90"/>
            </w:tcMar>
          </w:tcPr>
          <w:p>
            <w:pPr>
              <w:spacing w:after="0" w:line="252"/>
            </w:pPr>
            <w:r>
              <w:rPr>
                <w:rFonts w:ascii="Calibri" w:cs="Calibri" w:eastAsia="Calibri" w:hAnsi="Calibri"/>
                <w:b w:val="false"/>
                <w:bCs w:val="false"/>
                <w:color w:val="1B2733"/>
                <w:sz w:val="19"/>
                <w:szCs w:val="19"/>
              </w:rPr>
              <w:t xml:space="preserve">Jason</w:t>
            </w:r>
          </w:p>
        </w:tc>
        <w:tc>
          <w:tcPr>
            <w:tcMar>
              <w:top w:type="dxa" w:w="60"/>
              <w:left w:type="dxa" w:w="90"/>
              <w:bottom w:type="dxa" w:w="60"/>
              <w:right w:type="dxa" w:w="90"/>
            </w:tcMar>
          </w:tcPr>
          <w:p>
            <w:pPr>
              <w:spacing w:after="0" w:line="252"/>
            </w:pPr>
            <w:r>
              <w:rPr>
                <w:rFonts w:ascii="Calibri" w:cs="Calibri" w:eastAsia="Calibri" w:hAnsi="Calibri"/>
                <w:b w:val="false"/>
                <w:bCs w:val="false"/>
                <w:color w:val="1B2733"/>
                <w:sz w:val="19"/>
                <w:szCs w:val="19"/>
              </w:rPr>
              <w:t xml:space="preserve">Schedule a 30-minute follow-up to review progress</w:t>
            </w:r>
          </w:p>
        </w:tc>
        <w:tc>
          <w:tcPr>
            <w:tcMar>
              <w:top w:type="dxa" w:w="60"/>
              <w:left w:type="dxa" w:w="90"/>
              <w:bottom w:type="dxa" w:w="60"/>
              <w:right w:type="dxa" w:w="90"/>
            </w:tcMar>
          </w:tcPr>
          <w:p>
            <w:pPr>
              <w:spacing w:after="0" w:line="252"/>
            </w:pPr>
            <w:r>
              <w:rPr>
                <w:rFonts w:ascii="Calibri" w:cs="Calibri" w:eastAsia="Calibri" w:hAnsi="Calibri"/>
                <w:b w:val="false"/>
                <w:bCs w:val="false"/>
                <w:color w:val="1B2733"/>
                <w:sz w:val="19"/>
                <w:szCs w:val="19"/>
              </w:rPr>
              <w:t xml:space="preserve">next week</w:t>
            </w:r>
          </w:p>
        </w:tc>
      </w:tr>
      <w:tr>
        <w:trPr>
          <w:tblHeader w:val="off"/>
        </w:trPr>
        <w:tc>
          <w:tcPr>
            <w:tcMar>
              <w:top w:type="dxa" w:w="60"/>
              <w:left w:type="dxa" w:w="90"/>
              <w:bottom w:type="dxa" w:w="60"/>
              <w:right w:type="dxa" w:w="90"/>
            </w:tcMar>
          </w:tcPr>
          <w:p>
            <w:pPr>
              <w:spacing w:after="0" w:line="252"/>
            </w:pPr>
            <w:r>
              <w:rPr>
                <w:rFonts w:ascii="Calibri" w:cs="Calibri" w:eastAsia="Calibri" w:hAnsi="Calibri"/>
                <w:b w:val="false"/>
                <w:bCs w:val="false"/>
                <w:color w:val="1B2733"/>
                <w:sz w:val="19"/>
                <w:szCs w:val="19"/>
              </w:rPr>
              <w:t xml:space="preserve">Viren</w:t>
            </w:r>
          </w:p>
        </w:tc>
        <w:tc>
          <w:tcPr>
            <w:tcMar>
              <w:top w:type="dxa" w:w="60"/>
              <w:left w:type="dxa" w:w="90"/>
              <w:bottom w:type="dxa" w:w="60"/>
              <w:right w:type="dxa" w:w="90"/>
            </w:tcMar>
          </w:tcPr>
          <w:p>
            <w:pPr>
              <w:spacing w:after="0" w:line="252"/>
            </w:pPr>
            <w:r>
              <w:rPr>
                <w:rFonts w:ascii="Calibri" w:cs="Calibri" w:eastAsia="Calibri" w:hAnsi="Calibri"/>
                <w:b w:val="false"/>
                <w:bCs w:val="false"/>
                <w:color w:val="1B2733"/>
                <w:sz w:val="19"/>
                <w:szCs w:val="19"/>
              </w:rPr>
              <w:t xml:space="preserve">Confirm feasibility and a high-level plan for migrating SACRED to Lovable</w:t>
            </w:r>
          </w:p>
        </w:tc>
        <w:tc>
          <w:tcPr>
            <w:tcMar>
              <w:top w:type="dxa" w:w="60"/>
              <w:left w:type="dxa" w:w="90"/>
              <w:bottom w:type="dxa" w:w="60"/>
              <w:right w:type="dxa" w:w="90"/>
            </w:tcMar>
          </w:tcPr>
          <w:p>
            <w:pPr>
              <w:spacing w:after="0" w:line="252"/>
            </w:pPr>
            <w:r>
              <w:rPr>
                <w:rFonts w:ascii="Calibri" w:cs="Calibri" w:eastAsia="Calibri" w:hAnsi="Calibri"/>
                <w:b w:val="false"/>
                <w:bCs w:val="false"/>
                <w:color w:val="1B2733"/>
                <w:sz w:val="19"/>
                <w:szCs w:val="19"/>
              </w:rPr>
              <w:t xml:space="preserve">October</w:t>
            </w:r>
          </w:p>
        </w:tc>
      </w:tr>
      <w:tr>
        <w:trPr>
          <w:tblHeader w:val="off"/>
        </w:trPr>
        <w:tc>
          <w:tcPr>
            <w:tcMar>
              <w:top w:type="dxa" w:w="60"/>
              <w:left w:type="dxa" w:w="90"/>
              <w:bottom w:type="dxa" w:w="60"/>
              <w:right w:type="dxa" w:w="90"/>
            </w:tcMar>
          </w:tcPr>
          <w:p>
            <w:pPr>
              <w:spacing w:after="0" w:line="252"/>
            </w:pPr>
            <w:r>
              <w:rPr>
                <w:rFonts w:ascii="Calibri" w:cs="Calibri" w:eastAsia="Calibri" w:hAnsi="Calibri"/>
                <w:b w:val="false"/>
                <w:bCs w:val="false"/>
                <w:color w:val="1B2733"/>
                <w:sz w:val="19"/>
                <w:szCs w:val="19"/>
              </w:rPr>
              <w:t xml:space="preserve">Saroj / Infosys</w:t>
            </w:r>
          </w:p>
        </w:tc>
        <w:tc>
          <w:tcPr>
            <w:tcMar>
              <w:top w:type="dxa" w:w="60"/>
              <w:left w:type="dxa" w:w="90"/>
              <w:bottom w:type="dxa" w:w="60"/>
              <w:right w:type="dxa" w:w="90"/>
            </w:tcMar>
          </w:tcPr>
          <w:p>
            <w:pPr>
              <w:spacing w:after="0" w:line="252"/>
            </w:pPr>
            <w:r>
              <w:rPr>
                <w:rFonts w:ascii="Calibri" w:cs="Calibri" w:eastAsia="Calibri" w:hAnsi="Calibri"/>
                <w:b w:val="false"/>
                <w:bCs w:val="false"/>
                <w:color w:val="1B2733"/>
                <w:sz w:val="19"/>
                <w:szCs w:val="19"/>
              </w:rPr>
              <w:t xml:space="preserve">Refined supportability gaps and effort estimates for production readiness</w:t>
            </w:r>
          </w:p>
        </w:tc>
        <w:tc>
          <w:tcPr>
            <w:tcMar>
              <w:top w:type="dxa" w:w="60"/>
              <w:left w:type="dxa" w:w="90"/>
              <w:bottom w:type="dxa" w:w="60"/>
              <w:right w:type="dxa" w:w="90"/>
            </w:tcMar>
          </w:tcPr>
          <w:p>
            <w:pPr>
              <w:spacing w:after="0" w:line="252"/>
            </w:pPr>
            <w:r>
              <w:rPr>
                <w:rFonts w:ascii="Calibri" w:cs="Calibri" w:eastAsia="Calibri" w:hAnsi="Calibri"/>
                <w:b w:val="false"/>
                <w:bCs w:val="false"/>
                <w:color w:val="1B2733"/>
                <w:sz w:val="19"/>
                <w:szCs w:val="19"/>
              </w:rPr>
              <w:t xml:space="preserve">October</w:t>
            </w:r>
          </w:p>
        </w:tc>
      </w:tr>
      <w:tr>
        <w:trPr>
          <w:tblHeader w:val="off"/>
        </w:trPr>
        <w:tc>
          <w:tcPr>
            <w:tcMar>
              <w:top w:type="dxa" w:w="60"/>
              <w:left w:type="dxa" w:w="90"/>
              <w:bottom w:type="dxa" w:w="60"/>
              <w:right w:type="dxa" w:w="90"/>
            </w:tcMar>
          </w:tcPr>
          <w:p>
            <w:pPr>
              <w:spacing w:after="0" w:line="252"/>
            </w:pPr>
            <w:r>
              <w:rPr>
                <w:rFonts w:ascii="Calibri" w:cs="Calibri" w:eastAsia="Calibri" w:hAnsi="Calibri"/>
                <w:b w:val="false"/>
                <w:bCs w:val="false"/>
                <w:color w:val="1B2733"/>
                <w:sz w:val="19"/>
                <w:szCs w:val="19"/>
              </w:rPr>
              <w:t xml:space="preserve">Daniel</w:t>
            </w:r>
          </w:p>
        </w:tc>
        <w:tc>
          <w:tcPr>
            <w:tcMar>
              <w:top w:type="dxa" w:w="60"/>
              <w:left w:type="dxa" w:w="90"/>
              <w:bottom w:type="dxa" w:w="60"/>
              <w:right w:type="dxa" w:w="90"/>
            </w:tcMar>
          </w:tcPr>
          <w:p>
            <w:pPr>
              <w:spacing w:after="0" w:line="252"/>
            </w:pPr>
            <w:r>
              <w:rPr>
                <w:rFonts w:ascii="Calibri" w:cs="Calibri" w:eastAsia="Calibri" w:hAnsi="Calibri"/>
                <w:b w:val="false"/>
                <w:bCs w:val="false"/>
                <w:color w:val="1B2733"/>
                <w:sz w:val="19"/>
                <w:szCs w:val="19"/>
              </w:rPr>
              <w:t xml:space="preserve">Keep the ORR, project plan and failure logs current and accessible to IT</w:t>
            </w:r>
          </w:p>
        </w:tc>
        <w:tc>
          <w:tcPr>
            <w:tcMar>
              <w:top w:type="dxa" w:w="60"/>
              <w:left w:type="dxa" w:w="90"/>
              <w:bottom w:type="dxa" w:w="60"/>
              <w:right w:type="dxa" w:w="90"/>
            </w:tcMar>
          </w:tcPr>
          <w:p>
            <w:pPr>
              <w:spacing w:after="0" w:line="252"/>
            </w:pPr>
            <w:r>
              <w:rPr>
                <w:rFonts w:ascii="Calibri" w:cs="Calibri" w:eastAsia="Calibri" w:hAnsi="Calibri"/>
                <w:b w:val="false"/>
                <w:bCs w:val="false"/>
                <w:color w:val="1B2733"/>
                <w:sz w:val="19"/>
                <w:szCs w:val="19"/>
              </w:rPr>
              <w:t xml:space="preserve">ongoing; see below</w:t>
            </w:r>
          </w:p>
        </w:tc>
      </w:tr>
      <w:tr>
        <w:trPr>
          <w:tblHeader w:val="off"/>
        </w:trPr>
        <w:tc>
          <w:tcPr>
            <w:tcMar>
              <w:top w:type="dxa" w:w="60"/>
              <w:left w:type="dxa" w:w="90"/>
              <w:bottom w:type="dxa" w:w="60"/>
              <w:right w:type="dxa" w:w="90"/>
            </w:tcMar>
          </w:tcPr>
          <w:p>
            <w:pPr>
              <w:spacing w:after="0" w:line="252"/>
            </w:pPr>
            <w:r>
              <w:rPr>
                <w:rFonts w:ascii="Calibri" w:cs="Calibri" w:eastAsia="Calibri" w:hAnsi="Calibri"/>
                <w:b w:val="false"/>
                <w:bCs w:val="false"/>
                <w:color w:val="1B2733"/>
                <w:sz w:val="19"/>
                <w:szCs w:val="19"/>
              </w:rPr>
              <w:t xml:space="preserve">Luis</w:t>
            </w:r>
          </w:p>
        </w:tc>
        <w:tc>
          <w:tcPr>
            <w:tcMar>
              <w:top w:type="dxa" w:w="60"/>
              <w:left w:type="dxa" w:w="90"/>
              <w:bottom w:type="dxa" w:w="60"/>
              <w:right w:type="dxa" w:w="90"/>
            </w:tcMar>
          </w:tcPr>
          <w:p>
            <w:pPr>
              <w:spacing w:after="0" w:line="252"/>
            </w:pPr>
            <w:r>
              <w:rPr>
                <w:rFonts w:ascii="Calibri" w:cs="Calibri" w:eastAsia="Calibri" w:hAnsi="Calibri"/>
                <w:b w:val="false"/>
                <w:bCs w:val="false"/>
                <w:color w:val="1B2733"/>
                <w:sz w:val="19"/>
                <w:szCs w:val="19"/>
              </w:rPr>
              <w:t xml:space="preserve">Timing and funding options with Arnold and Torsten for earlier support</w:t>
            </w:r>
          </w:p>
        </w:tc>
        <w:tc>
          <w:tcPr>
            <w:tcMar>
              <w:top w:type="dxa" w:w="60"/>
              <w:left w:type="dxa" w:w="90"/>
              <w:bottom w:type="dxa" w:w="60"/>
              <w:right w:type="dxa" w:w="90"/>
            </w:tcMar>
          </w:tcPr>
          <w:p>
            <w:pPr>
              <w:spacing w:after="0" w:line="252"/>
            </w:pPr>
            <w:r>
              <w:rPr>
                <w:rFonts w:ascii="Calibri" w:cs="Calibri" w:eastAsia="Calibri" w:hAnsi="Calibri"/>
                <w:b w:val="false"/>
                <w:bCs w:val="false"/>
                <w:color w:val="1B2733"/>
                <w:sz w:val="19"/>
                <w:szCs w:val="19"/>
              </w:rPr>
              <w:t xml:space="preserve">October</w:t>
            </w:r>
          </w:p>
        </w:tc>
      </w:tr>
    </w:tbl>
    <w:p>
      <w:pPr>
        <w:spacing w:after="60"/>
      </w:pPr>
    </w:p>
    <w:p>
      <w:pPr>
        <w:spacing w:after="80" w:before="200"/>
      </w:pPr>
      <w:r>
        <w:rPr>
          <w:rFonts w:ascii="Calibri" w:cs="Calibri" w:eastAsia="Calibri" w:hAnsi="Calibri"/>
          <w:b/>
          <w:bCs/>
          <w:color w:val="002C77"/>
          <w:sz w:val="24"/>
          <w:szCs w:val="24"/>
        </w:rPr>
        <w:t xml:space="preserve">From our side, so the documents and the meeting line up</w:t>
      </w:r>
    </w:p>
    <w:p>
      <w:pPr>
        <w:pStyle w:val="ListParagraph"/>
        <w:numPr>
          <w:ilvl w:val="0"/>
          <w:numId w:val="1"/>
        </w:numPr>
        <w:spacing w:after="60" w:line="264"/>
      </w:pPr>
      <w:r>
        <w:rPr>
          <w:rFonts w:ascii="Calibri" w:cs="Calibri" w:eastAsia="Calibri" w:hAnsi="Calibri"/>
          <w:b/>
          <w:bCs/>
          <w:color w:val="1B2733"/>
          <w:sz w:val="22"/>
          <w:szCs w:val="22"/>
        </w:rPr>
        <w:t xml:space="preserve">Where the documents live.</w:t>
      </w:r>
      <w:r>
        <w:rPr>
          <w:rFonts w:ascii="Calibri" w:cs="Calibri" w:eastAsia="Calibri" w:hAnsi="Calibri"/>
          <w:b w:val="false"/>
          <w:bCs w:val="false"/>
          <w:color w:val="1B2733"/>
          <w:sz w:val="22"/>
          <w:szCs w:val="22"/>
        </w:rPr>
        <w:t xml:space="preserve"> The three attachments are the current versions. From now on I will keep them in one SharePoint folder that IT can open, refreshed whenever anything changes, and send the link rather than new copies. The failure logs are the "Known error log" sheet in the ORR workbook.</w:t>
      </w:r>
    </w:p>
    <w:p>
      <w:pPr>
        <w:pStyle w:val="ListParagraph"/>
        <w:numPr>
          <w:ilvl w:val="0"/>
          <w:numId w:val="1"/>
        </w:numPr>
        <w:spacing w:after="60" w:line="264"/>
      </w:pPr>
      <w:r>
        <w:rPr>
          <w:rFonts w:ascii="Calibri" w:cs="Calibri" w:eastAsia="Calibri" w:hAnsi="Calibri"/>
          <w:b/>
          <w:bCs/>
          <w:color w:val="1B2733"/>
          <w:sz w:val="22"/>
          <w:szCs w:val="22"/>
        </w:rPr>
        <w:t xml:space="preserve">The transfer.</w:t>
      </w:r>
      <w:r>
        <w:rPr>
          <w:rFonts w:ascii="Calibri" w:cs="Calibri" w:eastAsia="Calibri" w:hAnsi="Calibri"/>
          <w:b w:val="false"/>
          <w:bCs w:val="false"/>
          <w:color w:val="1B2733"/>
          <w:sz w:val="22"/>
          <w:szCs w:val="22"/>
        </w:rPr>
        <w:t xml:space="preserve"> The scanner moves from my PC to the sacred server in the week of 19 October, when Adam and I are both in Houston. If the UAT environment is ready by then, it should land there directly rather than on the sandbox and then move again.</w:t>
      </w:r>
    </w:p>
    <w:p>
      <w:pPr>
        <w:pStyle w:val="ListParagraph"/>
        <w:numPr>
          <w:ilvl w:val="0"/>
          <w:numId w:val="1"/>
        </w:numPr>
        <w:spacing w:after="60" w:line="264"/>
      </w:pPr>
      <w:r>
        <w:rPr>
          <w:rFonts w:ascii="Calibri" w:cs="Calibri" w:eastAsia="Calibri" w:hAnsi="Calibri"/>
          <w:b/>
          <w:bCs/>
          <w:color w:val="1B2733"/>
          <w:sz w:val="22"/>
          <w:szCs w:val="22"/>
        </w:rPr>
        <w:t xml:space="preserve">The database.</w:t>
      </w:r>
      <w:r>
        <w:rPr>
          <w:rFonts w:ascii="Calibri" w:cs="Calibri" w:eastAsia="Calibri" w:hAnsi="Calibri"/>
          <w:b w:val="false"/>
          <w:bCs w:val="false"/>
          <w:color w:val="1B2733"/>
          <w:sz w:val="22"/>
          <w:szCs w:val="22"/>
        </w:rPr>
        <w:t xml:space="preserve"> It is built, on Microsoft Fabric, loaded from the scanner's own export. It needs no ISIT resource; the only cost item is Fabric capacity from mid-November, which is a licence line.</w:t>
      </w:r>
    </w:p>
    <w:p>
      <w:pPr>
        <w:pStyle w:val="ListParagraph"/>
        <w:numPr>
          <w:ilvl w:val="0"/>
          <w:numId w:val="1"/>
        </w:numPr>
        <w:spacing w:after="60" w:line="264"/>
      </w:pPr>
      <w:r>
        <w:rPr>
          <w:rFonts w:ascii="Calibri" w:cs="Calibri" w:eastAsia="Calibri" w:hAnsi="Calibri"/>
          <w:b/>
          <w:bCs/>
          <w:color w:val="1B2733"/>
          <w:sz w:val="22"/>
          <w:szCs w:val="22"/>
        </w:rPr>
        <w:t xml:space="preserve">Sending identity.</w:t>
      </w:r>
      <w:r>
        <w:rPr>
          <w:rFonts w:ascii="Calibri" w:cs="Calibri" w:eastAsia="Calibri" w:hAnsi="Calibri"/>
          <w:b w:val="false"/>
          <w:bCs w:val="false"/>
          <w:color w:val="1B2733"/>
          <w:sz w:val="22"/>
          <w:szCs w:val="22"/>
        </w:rPr>
        <w:t xml:space="preserve"> Every notification email currently goes out under my account. We need a shared mailbox now and a service account at handover; neither needs the flows rebuilt. Both are on the Open actions sheet.</w:t>
      </w:r>
    </w:p>
    <w:p>
      <w:pPr>
        <w:pStyle w:val="ListParagraph"/>
        <w:numPr>
          <w:ilvl w:val="0"/>
          <w:numId w:val="1"/>
        </w:numPr>
        <w:spacing w:after="60" w:line="264"/>
      </w:pPr>
      <w:r>
        <w:rPr>
          <w:rFonts w:ascii="Calibri" w:cs="Calibri" w:eastAsia="Calibri" w:hAnsi="Calibri"/>
          <w:b/>
          <w:bCs/>
          <w:color w:val="1B2733"/>
          <w:sz w:val="22"/>
          <w:szCs w:val="22"/>
        </w:rPr>
        <w:t xml:space="preserve">The chart.</w:t>
      </w:r>
      <w:r>
        <w:rPr>
          <w:rFonts w:ascii="Calibri" w:cs="Calibri" w:eastAsia="Calibri" w:hAnsi="Calibri"/>
          <w:b w:val="false"/>
          <w:bCs w:val="false"/>
          <w:color w:val="1B2733"/>
          <w:sz w:val="22"/>
          <w:szCs w:val="22"/>
        </w:rPr>
        <w:t xml:space="preserve"> Draft 5 adds a section for yesterday's outcomes (UAT, the funding date, the Lovable feasibility) and dates the production go-live in February 2027 as agreed. Dates marked "estimate" are not commitments.</w:t>
      </w:r>
    </w:p>
    <w:p>
      <w:pPr>
        <w:spacing w:after="80" w:before="200"/>
      </w:pPr>
      <w:r>
        <w:rPr>
          <w:rFonts w:ascii="Calibri" w:cs="Calibri" w:eastAsia="Calibri" w:hAnsi="Calibri"/>
          <w:b/>
          <w:bCs/>
          <w:color w:val="002C77"/>
          <w:sz w:val="24"/>
          <w:szCs w:val="24"/>
        </w:rPr>
        <w:t xml:space="preserve">Four questions for the follow-up</w:t>
      </w:r>
    </w:p>
    <w:p>
      <w:pPr>
        <w:spacing w:after="60" w:line="264"/>
        <w:ind w:left="540" w:hanging="360"/>
      </w:pPr>
      <w:r>
        <w:rPr>
          <w:rFonts w:ascii="Calibri" w:cs="Calibri" w:eastAsia="Calibri" w:hAnsi="Calibri"/>
          <w:b w:val="false"/>
          <w:bCs w:val="false"/>
          <w:color w:val="1B2733"/>
          <w:sz w:val="22"/>
          <w:szCs w:val="22"/>
        </w:rPr>
        <w:t xml:space="preserve">1. Is the UAT server the existing sandbox renamed, or a second server? If a second, can the week-of-19-October transfer go to UAT directly?</w:t>
      </w:r>
    </w:p>
    <w:p>
      <w:pPr>
        <w:spacing w:after="60" w:line="264"/>
        <w:ind w:left="540" w:hanging="360"/>
      </w:pPr>
      <w:r>
        <w:rPr>
          <w:rFonts w:ascii="Calibri" w:cs="Calibri" w:eastAsia="Calibri" w:hAnsi="Calibri"/>
          <w:b w:val="false"/>
          <w:bCs w:val="false"/>
          <w:color w:val="1B2733"/>
          <w:sz w:val="22"/>
          <w:szCs w:val="22"/>
        </w:rPr>
        <w:t xml:space="preserve">2. For the Lovable feasibility, which of SACRED's five parts is in scope? The one-page sets them out. The rig-side tools are in service on fourteen rigs and the flows and SharePoint stay in the tenancy, so the proposal is presumably the dashboard pages.</w:t>
      </w:r>
    </w:p>
    <w:p>
      <w:pPr>
        <w:spacing w:after="60" w:line="264"/>
        <w:ind w:left="540" w:hanging="360"/>
      </w:pPr>
      <w:r>
        <w:rPr>
          <w:rFonts w:ascii="Calibri" w:cs="Calibri" w:eastAsia="Calibri" w:hAnsi="Calibri"/>
          <w:b w:val="false"/>
          <w:bCs w:val="false"/>
          <w:color w:val="1B2733"/>
          <w:sz w:val="22"/>
          <w:szCs w:val="22"/>
        </w:rPr>
        <w:t xml:space="preserve">3. Which rigs are affected by the selective test provisioning, and when is it lifted? Wider vessel testing on UAT needs those rigs to reach the server.</w:t>
      </w:r>
    </w:p>
    <w:p>
      <w:pPr>
        <w:spacing w:after="60" w:line="264"/>
        <w:ind w:left="540" w:hanging="360"/>
      </w:pPr>
      <w:r>
        <w:rPr>
          <w:rFonts w:ascii="Calibri" w:cs="Calibri" w:eastAsia="Calibri" w:hAnsi="Calibri"/>
          <w:b w:val="false"/>
          <w:bCs w:val="false"/>
          <w:color w:val="1B2733"/>
          <w:sz w:val="22"/>
          <w:szCs w:val="22"/>
        </w:rPr>
        <w:t xml:space="preserve">4. Does the January budget cover the service account, the shared mailbox, the UAT server and the production home, or do those need funding now?</w:t>
      </w:r>
    </w:p>
    <w:p>
      <w:pPr>
        <w:spacing w:after="120" w:line="276"/>
      </w:pPr>
      <w:r>
        <w:rPr>
          <w:rFonts w:ascii="Calibri" w:cs="Calibri" w:eastAsia="Calibri" w:hAnsi="Calibri"/>
          <w:b w:val="false"/>
          <w:bCs w:val="false"/>
          <w:color w:val="1B2733"/>
          <w:sz w:val="22"/>
          <w:szCs w:val="22"/>
        </w:rPr>
        <w:t xml:space="preserve">Kind regards,</w:t>
      </w:r>
    </w:p>
    <w:p>
      <w:pPr>
        <w:spacing w:after="120" w:line="276"/>
      </w:pPr>
      <w:r>
        <w:rPr>
          <w:rFonts w:ascii="Calibri" w:cs="Calibri" w:eastAsia="Calibri" w:hAnsi="Calibri"/>
          <w:b w:val="false"/>
          <w:bCs w:val="false"/>
          <w:color w:val="1B2733"/>
          <w:sz w:val="22"/>
          <w:szCs w:val="22"/>
        </w:rPr>
        <w:t xml:space="preserve">Dan Plant</w:t>
      </w:r>
      <w:r>
        <w:br/>
      </w:r>
      <w:r>
        <w:rPr>
          <w:rFonts w:ascii="Calibri" w:cs="Calibri" w:eastAsia="Calibri" w:hAnsi="Calibri"/>
          <w:b w:val="false"/>
          <w:bCs w:val="false"/>
          <w:color w:val="1B2733"/>
          <w:sz w:val="22"/>
          <w:szCs w:val="22"/>
        </w:rPr>
        <w:t xml:space="preserve">Technical Superintendent, Well Control Engineering</w:t>
      </w:r>
    </w:p>
    <w:sectPr>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733"/>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2026-10-02T10:50:42.767Z</dcterms:created>
  <dcterms:modified xsi:type="dcterms:W3CDTF">2026-10-02T10:50:42.779Z</dcterms:modified>
</cp:coreProperties>
</file>

<file path=docProps/custom.xml><?xml version="1.0" encoding="utf-8"?>
<Properties xmlns="http://schemas.openxmlformats.org/officeDocument/2006/custom-properties" xmlns:vt="http://schemas.openxmlformats.org/officeDocument/2006/docPropsVTypes"/>
</file>