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0"/>
        <w:gridCol w:w="4438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857500" cy="847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30"/>
                <w:sz w:val="20"/>
                <w:szCs w:val="20"/>
              </w:rPr>
              <w:t xml:space="preserve">Plantworks Studio Ltd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672"/>
                <w:sz w:val="18"/>
                <w:szCs w:val="18"/>
              </w:rPr>
              <w:t xml:space="preserve">Nº de sociedad: </w:t>
            </w: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[00000000]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672"/>
                <w:sz w:val="18"/>
                <w:szCs w:val="18"/>
              </w:rPr>
              <w:t xml:space="preserve">Domicilio social: </w:t>
            </w: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[registered office address, UK]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672"/>
                <w:sz w:val="18"/>
                <w:szCs w:val="18"/>
              </w:rPr>
              <w:t xml:space="preserve">info@plantworksstudio.com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672"/>
                <w:sz w:val="18"/>
                <w:szCs w:val="18"/>
              </w:rPr>
              <w:t xml:space="preserve">plantworksstudio.com</w:t>
            </w:r>
          </w:p>
        </w:tc>
      </w:tr>
    </w:tbl>
    <w:p>
      <w:pPr>
        <w:spacing w:after="120" w:before="0"/>
      </w:pPr>
    </w:p>
    <w:p>
      <w:pPr>
        <w:pBdr>
          <w:bottom w:val="single" w:color="E0762E" w:sz="6" w:space="1"/>
        </w:pBdr>
        <w:spacing w:after="160"/>
      </w:pPr>
    </w:p>
    <w:p>
      <w:pPr>
        <w:spacing w:after="60"/>
      </w:pPr>
      <w:r>
        <w:rPr>
          <w:rFonts w:ascii="Georgia" w:cs="Georgia" w:eastAsia="Georgia" w:hAnsi="Georgia"/>
          <w:b/>
          <w:bCs/>
          <w:color w:val="1B2A38"/>
          <w:sz w:val="40"/>
          <w:szCs w:val="40"/>
        </w:rPr>
        <w:t xml:space="preserve">Factura</w:t>
      </w:r>
    </w:p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0762E"/>
                <w:sz w:val="16"/>
                <w:szCs w:val="16"/>
              </w:rPr>
              <w:t xml:space="preserve">Nº de factura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PW-2026-001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0762E"/>
                <w:sz w:val="16"/>
                <w:szCs w:val="16"/>
              </w:rPr>
              <w:t xml:space="preserve">Fecha de emisión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[dd Month yyyy]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0762E"/>
                <w:sz w:val="16"/>
                <w:szCs w:val="16"/>
              </w:rPr>
              <w:t xml:space="preserve">Vencimiento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[dd Month yyyy]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0762E"/>
                <w:sz w:val="16"/>
                <w:szCs w:val="16"/>
              </w:rPr>
              <w:t xml:space="preserve">Moneda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EUR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E0762E"/>
                <w:sz w:val="16"/>
                <w:szCs w:val="16"/>
              </w:rPr>
              <w:t xml:space="preserve">CLIENTE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[Client business name]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[Contact name]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[Town, postcode, country]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5B6672"/>
                <w:sz w:val="21"/>
                <w:szCs w:val="21"/>
              </w:rPr>
              <w:t xml:space="preserve">NIF / CIF: </w:t>
            </w: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[client tax ID]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E0762E"/>
                <w:sz w:val="16"/>
                <w:szCs w:val="16"/>
              </w:rPr>
              <w:t xml:space="preserve">PROYECTO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[Multi-page bilingual website for Client business name]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5B6672"/>
                <w:sz w:val="21"/>
                <w:szCs w:val="21"/>
              </w:rPr>
              <w:t xml:space="preserve">Fase: </w:t>
            </w: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[50% al inicio / 50% a la publicación / Mantenimiento, mes de ...]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1000"/>
        <w:gridCol w:w="1500"/>
        <w:gridCol w:w="15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Precio unitario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Importe</w:t>
            </w:r>
          </w:p>
        </w:tc>
      </w:tr>
      <w:tr>
        <w:tc>
          <w:tcPr>
            <w:tcW w:type="dxa" w:w="5638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[Web bilingüe de varias páginas, hasta ocho páginas — 50% al inicio]</w:t>
            </w:r>
          </w:p>
        </w:tc>
        <w:tc>
          <w:tcPr>
            <w:tcW w:type="dxa" w:w="1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1.500,00 €</w:t>
            </w:r>
          </w:p>
        </w:tc>
        <w:tc>
          <w:tcPr>
            <w:tcW w:type="dxa" w:w="15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1.500,00 €</w:t>
            </w:r>
          </w:p>
        </w:tc>
      </w:tr>
      <w:tr>
        <w:tc>
          <w:tcPr>
            <w:tcW w:type="dxa" w:w="5638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[Cobros online — instalación]</w:t>
            </w:r>
          </w:p>
        </w:tc>
        <w:tc>
          <w:tcPr>
            <w:tcW w:type="dxa" w:w="1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150,00 €</w:t>
            </w:r>
          </w:p>
        </w:tc>
        <w:tc>
          <w:tcPr>
            <w:tcW w:type="dxa" w:w="15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150,00 €</w:t>
            </w:r>
          </w:p>
        </w:tc>
      </w:tr>
      <w:tr>
        <w:tc>
          <w:tcPr>
            <w:tcW w:type="dxa" w:w="5638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[Plan de mantenimiento — mes de ...]</w:t>
            </w:r>
          </w:p>
        </w:tc>
        <w:tc>
          <w:tcPr>
            <w:tcW w:type="dxa" w:w="1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0,00 €</w:t>
            </w:r>
          </w:p>
        </w:tc>
        <w:tc>
          <w:tcPr>
            <w:tcW w:type="dxa" w:w="15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0,00 €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38"/>
        <w:gridCol w:w="2500"/>
      </w:tblGrid>
      <w:tr>
        <w:tc>
          <w:tcPr>
            <w:tcW w:type="dxa" w:w="7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672"/>
                <w:sz w:val="21"/>
                <w:szCs w:val="21"/>
              </w:rPr>
              <w:t xml:space="preserve">Base imponible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1.650,00 €</w:t>
            </w:r>
          </w:p>
        </w:tc>
      </w:tr>
      <w:tr>
        <w:tc>
          <w:tcPr>
            <w:tcW w:type="dxa" w:w="7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672"/>
                <w:sz w:val="21"/>
                <w:szCs w:val="21"/>
              </w:rPr>
              <w:t xml:space="preserve">IVA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0,00 €</w:t>
            </w:r>
          </w:p>
        </w:tc>
      </w:tr>
      <w:tr>
        <w:tc>
          <w:tcPr>
            <w:tcW w:type="dxa" w:w="7138"/>
            <w:tcBorders>
              <w:top w:val="single" w:color="1B2A38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24"/>
                <w:szCs w:val="24"/>
              </w:rPr>
              <w:t xml:space="preserve">Total a pagar</w:t>
            </w:r>
          </w:p>
        </w:tc>
        <w:tc>
          <w:tcPr>
            <w:tcW w:type="dxa" w:w="2500"/>
            <w:tcBorders>
              <w:top w:val="single" w:color="1B2A38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24"/>
                <w:szCs w:val="24"/>
              </w:rPr>
              <w:t xml:space="preserve">1.650,00 €</w:t>
            </w:r>
          </w:p>
        </w:tc>
      </w:tr>
    </w:tbl>
    <w:p>
      <w:pPr>
        <w:spacing w:after="200" w:before="0"/>
      </w:pP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B6672"/>
          <w:sz w:val="18"/>
          <w:szCs w:val="18"/>
        </w:rPr>
        <w:t xml:space="preserve">IVA: operación no sujeta en el Reino Unido. Inversión del sujeto pasivo: el destinatario, empresario o profesional establecido en España, es el sujeto pasivo del IVA (art. 84.Uno.2º Ley 37/1992; art. 196 Directiva 2006/112/CE). Borrar esta nota para clientes particulares.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E0762E"/>
                <w:sz w:val="16"/>
                <w:szCs w:val="16"/>
              </w:rPr>
              <w:t xml:space="preserve">PAGO POR TRANSFERENCIA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672"/>
                <w:sz w:val="19"/>
                <w:szCs w:val="19"/>
              </w:rPr>
              <w:t xml:space="preserve">Titular: </w:t>
            </w:r>
            <w:r>
              <w:rPr>
                <w:rFonts w:ascii="Calibri" w:cs="Calibri" w:eastAsia="Calibri" w:hAnsi="Calibri"/>
                <w:color w:val="1E2730"/>
                <w:sz w:val="19"/>
                <w:szCs w:val="19"/>
              </w:rPr>
              <w:t xml:space="preserve">Plantworks Studio Ltd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672"/>
                <w:sz w:val="19"/>
                <w:szCs w:val="19"/>
              </w:rPr>
              <w:t xml:space="preserve">IBAN (EUR): </w:t>
            </w: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[GB00 XXXX 0000 0000 0000 00]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672"/>
                <w:sz w:val="19"/>
                <w:szCs w:val="19"/>
              </w:rPr>
              <w:t xml:space="preserve">BIC: </w:t>
            </w: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[XXXXGB00]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672"/>
                <w:sz w:val="19"/>
                <w:szCs w:val="19"/>
              </w:rPr>
              <w:t xml:space="preserve">Concepto: </w:t>
            </w: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[número de factura]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E0762E"/>
                <w:sz w:val="16"/>
                <w:szCs w:val="16"/>
              </w:rPr>
              <w:t xml:space="preserve">PAGO CON TARJETA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[Stripe payment link]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5B6672"/>
                <w:sz w:val="18"/>
                <w:szCs w:val="18"/>
              </w:rPr>
              <w:t xml:space="preserve">Tarjeta, Apple Pay o Google Pay. El mantenimiento se cobra cada mes con tarjeta.</w:t>
            </w: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E0762E"/>
                <w:sz w:val="16"/>
                <w:szCs w:val="16"/>
              </w:rPr>
              <w:t xml:space="preserve">CONDICIONES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5B6672"/>
                <w:sz w:val="18"/>
                <w:szCs w:val="18"/>
              </w:rPr>
              <w:t xml:space="preserve">La mitad del precio de la web se factura al inicio y el trabajo empieza cuando está pagada. El resto se factura al aprobar la vista previa y se paga antes de publicar la web. El mantenimiento se factura por adelantado cada mes y se puede cancelar en cualquier momento. Las demás facturas se pagan en un plazo de 14 días. Los archivos y el dominio son del cliente.</w:t>
            </w:r>
          </w:p>
        </w:tc>
      </w:tr>
    </w:tbl>
    <w:p>
      <w:pPr>
        <w:spacing w:after="200" w:before="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B6672"/>
          <w:sz w:val="16"/>
          <w:szCs w:val="16"/>
        </w:rPr>
        <w:t xml:space="preserve">Plantworks Studio Ltd · Sociedad registrada en Inglaterra y Gales · Gracias por su confianza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8123c72867e8fc2e66b6e9c62e4194a1eff6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2026-10-15T21:44:19.828Z</dcterms:created>
  <dcterms:modified xsi:type="dcterms:W3CDTF">2026-10-15T21:44:19.828Z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