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DB71E" w:sz="12" w:space="2"/>
        </w:pBdr>
        <w:spacing w:after="100"/>
      </w:pPr>
      <w:r>
        <w:rPr>
          <w:rFonts w:ascii="Calibri" w:cs="Calibri" w:eastAsia="Calibri" w:hAnsi="Calibri"/>
          <w:b/>
          <w:bCs/>
          <w:color w:val="002C77"/>
          <w:sz w:val="30"/>
          <w:szCs w:val="30"/>
        </w:rPr>
        <w:t xml:space="preserve">SACRED: what it is made of, in one page</w:t>
      </w:r>
    </w:p>
    <w:p>
      <w:pPr>
        <w:spacing w:after="120" w:line="276"/>
      </w:pPr>
      <w:r>
        <w:rPr>
          <w:rFonts w:ascii="Calibri" w:cs="Calibri" w:eastAsia="Calibri" w:hAnsi="Calibri"/>
          <w:b/>
          <w:bCs/>
          <w:color w:val="1B2733"/>
          <w:sz w:val="17"/>
          <w:szCs w:val="17"/>
        </w:rPr>
        <w:t xml:space="preserve">For:</w:t>
      </w:r>
      <w:r>
        <w:rPr>
          <w:rFonts w:ascii="Calibri" w:cs="Calibri" w:eastAsia="Calibri" w:hAnsi="Calibri"/>
          <w:b w:val="false"/>
          <w:bCs w:val="false"/>
          <w:color w:val="1B2733"/>
          <w:sz w:val="17"/>
          <w:szCs w:val="17"/>
        </w:rPr>
        <w:t xml:space="preserve"> Viren (Lovable feasibility), Adam Snyder (UAT), Saroj / Infosys (supportability) · </w:t>
      </w:r>
      <w:r>
        <w:rPr>
          <w:rFonts w:ascii="Calibri" w:cs="Calibri" w:eastAsia="Calibri" w:hAnsi="Calibri"/>
          <w:b/>
          <w:bCs/>
          <w:color w:val="1B2733"/>
          <w:sz w:val="17"/>
          <w:szCs w:val="17"/>
        </w:rPr>
        <w:t xml:space="preserve">From:</w:t>
      </w:r>
      <w:r>
        <w:rPr>
          <w:rFonts w:ascii="Calibri" w:cs="Calibri" w:eastAsia="Calibri" w:hAnsi="Calibri"/>
          <w:b w:val="false"/>
          <w:bCs w:val="false"/>
          <w:color w:val="1B2733"/>
          <w:sz w:val="17"/>
          <w:szCs w:val="17"/>
        </w:rPr>
        <w:t xml:space="preserve"> Dan Plant, Technical Superintendent, Well Control Engineering · </w:t>
      </w:r>
      <w:r>
        <w:rPr>
          <w:rFonts w:ascii="Calibri" w:cs="Calibri" w:eastAsia="Calibri" w:hAnsi="Calibri"/>
          <w:b/>
          <w:bCs/>
          <w:color w:val="1B2733"/>
          <w:sz w:val="17"/>
          <w:szCs w:val="17"/>
        </w:rPr>
        <w:t xml:space="preserve">Date:</w:t>
      </w:r>
      <w:r>
        <w:rPr>
          <w:rFonts w:ascii="Calibri" w:cs="Calibri" w:eastAsia="Calibri" w:hAnsi="Calibri"/>
          <w:b w:val="false"/>
          <w:bCs w:val="false"/>
          <w:color w:val="1B2733"/>
          <w:sz w:val="17"/>
          <w:szCs w:val="17"/>
        </w:rPr>
        <w:t xml:space="preserve"> 2 October 2026</w:t>
      </w:r>
    </w:p>
    <w:p>
      <w:pPr>
        <w:spacing w:after="120" w:line="276"/>
      </w:pPr>
      <w:r>
        <w:rPr>
          <w:rFonts w:ascii="Calibri" w:cs="Calibri" w:eastAsia="Calibri" w:hAnsi="Calibri"/>
          <w:b w:val="false"/>
          <w:bCs w:val="false"/>
          <w:color w:val="1B2733"/>
          <w:sz w:val="19"/>
          <w:szCs w:val="19"/>
        </w:rPr>
        <w:t xml:space="preserve">SACRED is five parts. They are joined by files, not by code calling code, which is why each can be judged on its own.</w:t>
      </w:r>
    </w:p>
    <w:tbl>
      <w:tblPr>
        <w:tblW w:type="pct" w:w="5000"/>
        <w:tblBorders>
          <w:top w:val="single" w:color="C9D4EA" w:sz="4"/>
          <w:left w:val="single" w:color="C9D4EA" w:sz="4"/>
          <w:bottom w:val="single" w:color="C9D4EA" w:sz="4"/>
          <w:right w:val="single" w:color="C9D4EA" w:sz="4"/>
          <w:insideH w:val="single" w:color="C9D4EA" w:sz="4"/>
          <w:insideV w:val="single" w:color="C9D4EA" w:sz="4"/>
        </w:tblBorders>
      </w:tblPr>
      <w:tblGrid>
        <w:gridCol w:w="610"/>
        <w:gridCol w:w="2438"/>
        <w:gridCol w:w="4571"/>
        <w:gridCol w:w="2133"/>
        <w:gridCol w:w="1524"/>
        <w:gridCol w:w="3962"/>
      </w:tblGrid>
      <w:tr>
        <w:trPr>
          <w:tblHeader/>
        </w:trPr>
        <w:tc>
          <w:tcPr>
            <w:tcW w:type="pct" w:w="200"/>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6"/>
                <w:szCs w:val="16"/>
              </w:rPr>
              <w:t xml:space="preserve">#</w:t>
            </w:r>
          </w:p>
        </w:tc>
        <w:tc>
          <w:tcPr>
            <w:tcW w:type="pct" w:w="800"/>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6"/>
                <w:szCs w:val="16"/>
              </w:rPr>
              <w:t xml:space="preserve">Part</w:t>
            </w:r>
          </w:p>
        </w:tc>
        <w:tc>
          <w:tcPr>
            <w:tcW w:type="pct" w:w="1500"/>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6"/>
                <w:szCs w:val="16"/>
              </w:rPr>
              <w:t xml:space="preserve">What it is</w:t>
            </w:r>
          </w:p>
        </w:tc>
        <w:tc>
          <w:tcPr>
            <w:tcW w:type="pct" w:w="700"/>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6"/>
                <w:szCs w:val="16"/>
              </w:rPr>
              <w:t xml:space="preserve">Where it runs</w:t>
            </w:r>
          </w:p>
        </w:tc>
        <w:tc>
          <w:tcPr>
            <w:tcW w:type="pct" w:w="500"/>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6"/>
                <w:szCs w:val="16"/>
              </w:rPr>
              <w:t xml:space="preserve">Who owns it</w:t>
            </w:r>
          </w:p>
        </w:tc>
        <w:tc>
          <w:tcPr>
            <w:tcW w:type="pct" w:w="1300"/>
            <w:shd w:fill="002C77" w:color="auto" w:val="clear"/>
            <w:tcMar>
              <w:top w:type="dxa" w:w="60"/>
              <w:left w:type="dxa" w:w="90"/>
              <w:bottom w:type="dxa" w:w="60"/>
              <w:right w:type="dxa" w:w="90"/>
            </w:tcMar>
          </w:tcPr>
          <w:p>
            <w:pPr>
              <w:spacing w:after="0" w:line="252"/>
            </w:pPr>
            <w:r>
              <w:rPr>
                <w:rFonts w:ascii="Calibri" w:cs="Calibri" w:eastAsia="Calibri" w:hAnsi="Calibri"/>
                <w:b/>
                <w:bCs/>
                <w:color w:val="FFFFFF"/>
                <w:sz w:val="16"/>
                <w:szCs w:val="16"/>
              </w:rPr>
              <w:t xml:space="preserve">Could it move to a hosted app platform?</w:t>
            </w:r>
          </w:p>
        </w:tc>
      </w:tr>
      <w:tr>
        <w:trPr>
          <w:tblHeader w:val="off"/>
        </w:trPr>
        <w:tc>
          <w:tcPr>
            <w:tcW w:type="pct" w:w="2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1</w:t>
            </w:r>
          </w:p>
        </w:tc>
        <w:tc>
          <w:tcPr>
            <w:tcW w:type="pct" w:w="8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The rig-side tools</w:t>
            </w:r>
            <w:r>
              <w:rPr>
                <w:rFonts w:ascii="Calibri" w:cs="Calibri" w:eastAsia="Calibri" w:hAnsi="Calibri"/>
                <w:b w:val="false"/>
                <w:bCs w:val="false"/>
                <w:color w:val="1B2733"/>
                <w:sz w:val="16"/>
                <w:szCs w:val="16"/>
              </w:rPr>
              <w:t xml:space="preserve"> (WCE Rig Reporting Tool, SSORT, Precharge Pro, the AAB and Help pages)</w:t>
            </w:r>
          </w:p>
        </w:tc>
        <w:tc>
          <w:tcPr>
            <w:tcW w:type="pct" w:w="1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Single self-contained HTML files. A crew opens one on a rig laptop, fills it in over hours or days with local auto-save, and presses Post. Post sends one JSON file (0.5 to 40 MB) to an HTTP endpoint. Rigs have a live connection (Starlink); the tools are file-based by design so a half-finished report survives a dropout, a reboot or a change of shift, and so a report is one file that can be kept, re-posted or recovered.</w:t>
            </w:r>
          </w:p>
        </w:tc>
        <w:tc>
          <w:tcPr>
            <w:tcW w:type="pct" w:w="7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On the rig laptop, from a file. The sacred share is only where the current revision is downloaded from.</w:t>
            </w:r>
          </w:p>
        </w:tc>
        <w:tc>
          <w:tcPr>
            <w:tcW w:type="pct" w:w="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 Plant (owner), with their build sessions</w:t>
            </w:r>
          </w:p>
        </w:tc>
        <w:tc>
          <w:tcPr>
            <w:tcW w:type="pct" w:w="13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In principle, yes; in practice it is a rebuild, not a migration.</w:t>
            </w:r>
            <w:r>
              <w:rPr>
                <w:rFonts w:ascii="Calibri" w:cs="Calibri" w:eastAsia="Calibri" w:hAnsi="Calibri"/>
                <w:b w:val="false"/>
                <w:bCs w:val="false"/>
                <w:color w:val="1B2733"/>
                <w:sz w:val="16"/>
                <w:szCs w:val="16"/>
              </w:rPr>
              <w:t xml:space="preserve"> Fourteen rigs are trained on them and they are in service. A hosted form would have to match the local auto-save and the one-file record before any crew used it. Worth considering later for two reasons: live posting, and no unmanaged data left on rig machines (ORR item 27). Not for February.</w:t>
            </w:r>
          </w:p>
        </w:tc>
      </w:tr>
      <w:tr>
        <w:trPr>
          <w:tblHeader w:val="off"/>
        </w:trPr>
        <w:tc>
          <w:tcPr>
            <w:tcW w:type="pct" w:w="2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2</w:t>
            </w:r>
          </w:p>
        </w:tc>
        <w:tc>
          <w:tcPr>
            <w:tcW w:type="pct" w:w="8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The intake and the notification flows</w:t>
            </w:r>
          </w:p>
        </w:tc>
        <w:tc>
          <w:tcPr>
            <w:tcW w:type="pct" w:w="1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Power Automate: an HTTP trigger that writes each posted file into a SharePoint library; five flows that send the precharge, CBM to NOV, AAB, Help Centre and rig-visit emails and Teams posts from a distribution workbook, with test mode and receipts.</w:t>
            </w:r>
          </w:p>
        </w:tc>
        <w:tc>
          <w:tcPr>
            <w:tcW w:type="pct" w:w="7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SEADRILL-WC-DEV environment; SharePoint site WellControl</w:t>
            </w:r>
          </w:p>
        </w:tc>
        <w:tc>
          <w:tcPr>
            <w:tcW w:type="pct" w:w="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 Lee Arnold co-owner</w:t>
            </w:r>
          </w:p>
        </w:tc>
        <w:tc>
          <w:tcPr>
            <w:tcW w:type="pct" w:w="13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Already hosted</w:t>
            </w:r>
            <w:r>
              <w:rPr>
                <w:rFonts w:ascii="Calibri" w:cs="Calibri" w:eastAsia="Calibri" w:hAnsi="Calibri"/>
                <w:b w:val="false"/>
                <w:bCs w:val="false"/>
                <w:color w:val="1B2733"/>
                <w:sz w:val="16"/>
                <w:szCs w:val="16"/>
              </w:rPr>
              <w:t xml:space="preserve"> in the Microsoft tenancy. Nothing to migrate. If the pages moved, the links the flows send would change, which is a field edit per flow.</w:t>
            </w:r>
          </w:p>
        </w:tc>
      </w:tr>
      <w:tr>
        <w:trPr>
          <w:tblHeader w:val="off"/>
        </w:trPr>
        <w:tc>
          <w:tcPr>
            <w:tcW w:type="pct" w:w="2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3</w:t>
            </w:r>
          </w:p>
        </w:tc>
        <w:tc>
          <w:tcPr>
            <w:tcW w:type="pct" w:w="8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The scanner and the pages</w:t>
            </w:r>
          </w:p>
        </w:tc>
        <w:tc>
          <w:tcPr>
            <w:tcW w:type="pct" w:w="1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A PowerShell script (no modules) runs every ten minutes, reads the three SharePoint libraries through OneDrive sync, and writes static HTML pages, a JSON data file and per-report digests. The dashboard, the Bulletin Board, the Help Centre and the precharge pages are those static files served by IIS from the sacred share.</w:t>
            </w:r>
          </w:p>
        </w:tc>
        <w:tc>
          <w:tcPr>
            <w:tcW w:type="pct" w:w="7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Dan's PC today; the sacred server (sandbox) from the week of 19 October; UAT and production when ISIT provide them</w:t>
            </w:r>
          </w:p>
        </w:tc>
        <w:tc>
          <w:tcPr>
            <w:tcW w:type="pct" w:w="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 (script, pages); ISIT (server and task from the transfer)</w:t>
            </w:r>
          </w:p>
        </w:tc>
        <w:tc>
          <w:tcPr>
            <w:tcW w:type="pct" w:w="13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This is the part a platform could replace.</w:t>
            </w:r>
            <w:r>
              <w:rPr>
                <w:rFonts w:ascii="Calibri" w:cs="Calibri" w:eastAsia="Calibri" w:hAnsi="Calibri"/>
                <w:b w:val="false"/>
                <w:bCs w:val="false"/>
                <w:color w:val="1B2733"/>
                <w:sz w:val="16"/>
                <w:szCs w:val="16"/>
              </w:rPr>
              <w:t xml:space="preserve"> The pages are read-only views of files; a hosted app could render the same views from the same data. It would need an ingestion step to take the posted files (or the scanner's normalised export) into its own store, and an authenticated path for rig users.</w:t>
            </w:r>
          </w:p>
        </w:tc>
      </w:tr>
      <w:tr>
        <w:trPr>
          <w:tblHeader w:val="off"/>
        </w:trPr>
        <w:tc>
          <w:tcPr>
            <w:tcW w:type="pct" w:w="2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4</w:t>
            </w:r>
          </w:p>
        </w:tc>
        <w:tc>
          <w:tcPr>
            <w:tcW w:type="pct" w:w="8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The database</w:t>
            </w:r>
          </w:p>
        </w:tc>
        <w:tc>
          <w:tcPr>
            <w:tcW w:type="pct" w:w="1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Microsoft Fabric SQL database SACRED DATA (22 tables, 6 views), loaded from the scanner's normalised export on every run. No server, no secret.</w:t>
            </w:r>
          </w:p>
        </w:tc>
        <w:tc>
          <w:tcPr>
            <w:tcW w:type="pct" w:w="7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Dan's Fabric workspace; capacity on Lee's cost centre from mid-November</w:t>
            </w:r>
          </w:p>
        </w:tc>
        <w:tc>
          <w:tcPr>
            <w:tcW w:type="pct" w:w="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 / Lee</w:t>
            </w:r>
          </w:p>
        </w:tc>
        <w:tc>
          <w:tcPr>
            <w:tcW w:type="pct" w:w="13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Already hosted</w:t>
            </w:r>
            <w:r>
              <w:rPr>
                <w:rFonts w:ascii="Calibri" w:cs="Calibri" w:eastAsia="Calibri" w:hAnsi="Calibri"/>
                <w:b w:val="false"/>
                <w:bCs w:val="false"/>
                <w:color w:val="1B2733"/>
                <w:sz w:val="16"/>
                <w:szCs w:val="16"/>
              </w:rPr>
              <w:t xml:space="preserve"> in the tenancy. A platform with its own database would be a second copy of the same data outside the tenancy, with its own security review.</w:t>
            </w:r>
          </w:p>
        </w:tc>
      </w:tr>
      <w:tr>
        <w:trPr>
          <w:tblHeader w:val="off"/>
        </w:trPr>
        <w:tc>
          <w:tcPr>
            <w:tcW w:type="pct" w:w="2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5</w:t>
            </w:r>
          </w:p>
        </w:tc>
        <w:tc>
          <w:tcPr>
            <w:tcW w:type="pct" w:w="8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Ask SACRED AI</w:t>
            </w:r>
          </w:p>
        </w:tc>
        <w:tc>
          <w:tcPr>
            <w:tcW w:type="pct" w:w="1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A Copilot Studio agent that answers questions from the per-report digests in SharePoint.</w:t>
            </w:r>
          </w:p>
        </w:tc>
        <w:tc>
          <w:tcPr>
            <w:tcW w:type="pct" w:w="7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Seadrill Apps PROD; Teams app approval pending since 16 September</w:t>
            </w:r>
          </w:p>
        </w:tc>
        <w:tc>
          <w:tcPr>
            <w:tcW w:type="pct" w:w="500"/>
            <w:tcMar>
              <w:top w:type="dxa" w:w="60"/>
              <w:left w:type="dxa" w:w="90"/>
              <w:bottom w:type="dxa" w:w="60"/>
              <w:right w:type="dxa" w:w="90"/>
            </w:tcMar>
          </w:tcPr>
          <w:p>
            <w:pPr>
              <w:spacing w:after="0" w:line="252"/>
            </w:pPr>
            <w:r>
              <w:rPr>
                <w:rFonts w:ascii="Calibri" w:cs="Calibri" w:eastAsia="Calibri" w:hAnsi="Calibri"/>
                <w:b w:val="false"/>
                <w:bCs w:val="false"/>
                <w:color w:val="1B2733"/>
                <w:sz w:val="16"/>
                <w:szCs w:val="16"/>
              </w:rPr>
              <w:t xml:space="preserve">Dan, Lee</w:t>
            </w:r>
          </w:p>
        </w:tc>
        <w:tc>
          <w:tcPr>
            <w:tcW w:type="pct" w:w="1300"/>
            <w:tcMar>
              <w:top w:type="dxa" w:w="60"/>
              <w:left w:type="dxa" w:w="90"/>
              <w:bottom w:type="dxa" w:w="60"/>
              <w:right w:type="dxa" w:w="90"/>
            </w:tcMar>
          </w:tcPr>
          <w:p>
            <w:pPr>
              <w:spacing w:after="0" w:line="252"/>
            </w:pPr>
            <w:r>
              <w:rPr>
                <w:rFonts w:ascii="Calibri" w:cs="Calibri" w:eastAsia="Calibri" w:hAnsi="Calibri"/>
                <w:b/>
                <w:bCs/>
                <w:color w:val="1B2733"/>
                <w:sz w:val="16"/>
                <w:szCs w:val="16"/>
              </w:rPr>
              <w:t xml:space="preserve">Already hosted.</w:t>
            </w:r>
            <w:r>
              <w:rPr>
                <w:rFonts w:ascii="Calibri" w:cs="Calibri" w:eastAsia="Calibri" w:hAnsi="Calibri"/>
                <w:b w:val="false"/>
                <w:bCs w:val="false"/>
                <w:color w:val="1B2733"/>
                <w:sz w:val="16"/>
                <w:szCs w:val="16"/>
              </w:rPr>
              <w:t xml:space="preserve"> Reads SharePoint; unaffected by where the pages live.</w:t>
            </w:r>
          </w:p>
        </w:tc>
      </w:tr>
    </w:tbl>
    <w:p>
      <w:pPr>
        <w:spacing w:after="60"/>
      </w:pPr>
    </w:p>
    <w:p>
      <w:pPr>
        <w:spacing w:after="120" w:line="276"/>
      </w:pPr>
      <w:r>
        <w:rPr>
          <w:rFonts w:ascii="Calibri" w:cs="Calibri" w:eastAsia="Calibri" w:hAnsi="Calibri"/>
          <w:b w:val="false"/>
          <w:bCs w:val="false"/>
          <w:color w:val="1B2733"/>
          <w:sz w:val="17"/>
          <w:szCs w:val="17"/>
        </w:rPr>
        <w:t xml:space="preserve">Questions: Dan Plant, Technical Superintendent, Well Control Engineering.</w:t>
      </w:r>
    </w:p>
    <w:sectPr>
      <w:pgSz w:w="16838" w:h="11906" w:orient="landscape"/>
      <w:pgMar w:top="720" w:right="800" w:bottom="72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2026-10-02T15:30:38.641Z</dcterms:created>
  <dcterms:modified xsi:type="dcterms:W3CDTF">2026-10-02T15:30:38.641Z</dcterms:modified>
</cp:coreProperties>
</file>

<file path=docProps/custom.xml><?xml version="1.0" encoding="utf-8"?>
<Properties xmlns="http://schemas.openxmlformats.org/officeDocument/2006/custom-properties" xmlns:vt="http://schemas.openxmlformats.org/officeDocument/2006/docPropsVTypes"/>
</file>