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W w:type="dxa" w:w="9350"/>
            <w:shd w:fill="0B1F3A" w:color="auto" w:val="clear"/>
            <w:tcMar>
              <w:top w:type="dxa" w:w="900"/>
              <w:left w:type="dxa" w:w="620"/>
              <w:bottom w:type="dxa" w:w="900"/>
              <w:right w:type="dxa" w:w="620"/>
            </w:tcMar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color w:val="C9A34E"/>
                <w:spacing w:val="20"/>
                <w:sz w:val="18"/>
                <w:szCs w:val="18"/>
              </w:rPr>
              <w:t xml:space="preserve">M A N U A L   D E   U S U A R I O</w:t>
            </w:r>
          </w:p>
          <w:p>
            <w:pPr>
              <w:spacing w:after="22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6"/>
                <w:szCs w:val="66"/>
              </w:rPr>
              <w:t xml:space="preserve">ProcessOS</w:t>
            </w:r>
          </w:p>
          <w:p>
            <w:pPr>
              <w:spacing w:after="500"/>
            </w:pPr>
            <w:r>
              <w:rPr>
                <w:rFonts w:ascii="Georgia" w:cs="Georgia" w:eastAsia="Georgia" w:hAnsi="Georgia"/>
                <w:i/>
                <w:iCs/>
                <w:color w:val="E5ECF8"/>
                <w:sz w:val="30"/>
                <w:szCs w:val="30"/>
              </w:rPr>
              <w:t xml:space="preserve">para Clínica Lo Arcaya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7D2E8"/>
                <w:sz w:val="21"/>
                <w:szCs w:val="21"/>
              </w:rPr>
              <w:t xml:space="preserve">Guía completa de la plataforma para el rol Sponsor Cliente — de tu primer</w:t>
            </w:r>
          </w:p>
          <w:p>
            <w:r>
              <w:rPr>
                <w:rFonts w:ascii="Calibri" w:cs="Calibri" w:eastAsia="Calibri" w:hAnsi="Calibri"/>
                <w:color w:val="C7D2E8"/>
                <w:sz w:val="21"/>
                <w:szCs w:val="21"/>
              </w:rPr>
              <w:t xml:space="preserve">ingreso a la aprobación semana a semana del trabajo de consultoría.</w:t>
            </w:r>
          </w:p>
        </w:tc>
      </w:tr>
    </w:tbl>
    <w:p>
      <w:pPr>
        <w:spacing w:after="360"/>
      </w:pPr>
    </w:p>
    <w:tbl>
      <w:tblPr>
        <w:tblW w:type="dxa" w:w="93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tcMar>
              <w:top w:type="dxa" w:w="260"/>
              <w:left w:type="dxa" w:w="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34E"/>
                <w:spacing w:val="10"/>
                <w:sz w:val="15"/>
                <w:szCs w:val="15"/>
              </w:rPr>
              <w:t xml:space="preserve">AUDIENCIA</w:t>
            </w:r>
          </w:p>
          <w:p>
            <w:r>
              <w:rPr>
                <w:rFonts w:ascii="Calibri" w:cs="Calibri" w:eastAsia="Calibri" w:hAnsi="Calibri"/>
                <w:color w:val="0B1F3A"/>
                <w:sz w:val="20"/>
                <w:szCs w:val="20"/>
              </w:rPr>
              <w:t xml:space="preserve">Rol Sponsor Cliente</w:t>
            </w:r>
          </w:p>
        </w:tc>
        <w:tc>
          <w:tcPr>
            <w:tcW w:type="dxa" w:w="3117"/>
            <w:tcMar>
              <w:top w:type="dxa" w:w="260"/>
              <w:left w:type="dxa" w:w="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34E"/>
                <w:spacing w:val="1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color w:val="0B1F3A"/>
                <w:sz w:val="20"/>
                <w:szCs w:val="20"/>
              </w:rPr>
              <w:t xml:space="preserve">ProcessOS · AICOUNTS</w:t>
            </w:r>
          </w:p>
        </w:tc>
        <w:tc>
          <w:tcPr>
            <w:tcW w:type="dxa" w:w="3117"/>
            <w:tcMar>
              <w:top w:type="dxa" w:w="260"/>
              <w:left w:type="dxa" w:w="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34E"/>
                <w:spacing w:val="10"/>
                <w:sz w:val="15"/>
                <w:szCs w:val="15"/>
              </w:rPr>
              <w:t xml:space="preserve">VERSIÓN</w:t>
            </w:r>
          </w:p>
          <w:p>
            <w:r>
              <w:rPr>
                <w:rFonts w:ascii="Calibri" w:cs="Calibri" w:eastAsia="Calibri" w:hAnsi="Calibri"/>
                <w:color w:val="0B1F3A"/>
                <w:sz w:val="20"/>
                <w:szCs w:val="20"/>
              </w:rPr>
              <w:t xml:space="preserve">Julio 2026</w:t>
            </w:r>
          </w:p>
        </w:tc>
      </w:tr>
    </w:tbl>
    <w:p>
      <w:pPr>
        <w:spacing w:after="500"/>
      </w:pPr>
    </w:p>
    <w:tbl>
      <w:tblPr>
        <w:tblW w:type="pct" w:w="100%"/>
        <w:tblBorders>
          <w:top w:val="single" w:color="E5ECF8" w:sz="2"/>
          <w:left w:val="single" w:color="154EB8" w:sz="24"/>
          <w:bottom w:val="single" w:color="E5ECF8" w:sz="2"/>
          <w:right w:val="single" w:color="E5ECF8" w:sz="2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W w:type="pct" w:w="100%"/>
            <w:shd w:fill="E5EC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>✅  </w:t>
            </w:r>
            <w:r>
              <w:rPr>
                <w:rFonts w:ascii="Calibri" w:cs="Calibri" w:eastAsia="Calibri" w:hAnsi="Calibri"/>
                <w:color w:val="0B1F3A"/>
                <w:sz w:val="20"/>
                <w:szCs w:val="20"/>
              </w:rPr>
              <w:t xml:space="preserve">No necesitas experiencia técnica. Este manual documenta cada pantalla, cada botón y cada flujo de trabajo que usarás como Sponsor Cliente — léelo una vez de principio a fin, y después úsalo como referencia semana a semana.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C9A34E"/>
          <w:spacing w:val="16"/>
          <w:sz w:val="18"/>
          <w:szCs w:val="18"/>
        </w:rPr>
        <w:t xml:space="preserve">CONTENIDO</w:t>
      </w:r>
    </w:p>
    <w:p>
      <w:pPr>
        <w:pBdr>
          <w:bottom w:val="single" w:color="D6DBE1" w:sz="6" w:space="4"/>
        </w:pBdr>
        <w:spacing w:after="320"/>
      </w:pPr>
    </w:p>
    <w:p>
      <w:pPr>
        <w:tabs>
          <w:tab w:val="right" w:pos="9026" w:leader="dot"/>
        </w:tabs>
        <w:spacing w:after="14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1   </w:t>
      </w:r>
      <w:r>
        <w:rPr>
          <w:rFonts w:ascii="Calibri" w:cs="Calibri" w:eastAsia="Calibri" w:hAnsi="Calibri"/>
          <w:color w:val="0B1F3A"/>
          <w:sz w:val="22"/>
          <w:szCs w:val="22"/>
        </w:rPr>
        <w:t xml:space="preserve">Introducción</w:t>
      </w:r>
    </w:p>
    <w:p>
      <w:pPr>
        <w:tabs>
          <w:tab w:val="right" w:pos="9026" w:leader="dot"/>
        </w:tabs>
        <w:spacing w:after="14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2   </w:t>
      </w:r>
      <w:r>
        <w:rPr>
          <w:rFonts w:ascii="Calibri" w:cs="Calibri" w:eastAsia="Calibri" w:hAnsi="Calibri"/>
          <w:color w:val="0B1F3A"/>
          <w:sz w:val="22"/>
          <w:szCs w:val="22"/>
        </w:rPr>
        <w:t xml:space="preserve">Requisitos</w:t>
      </w:r>
    </w:p>
    <w:p>
      <w:pPr>
        <w:tabs>
          <w:tab w:val="right" w:pos="9026" w:leader="dot"/>
        </w:tabs>
        <w:spacing w:after="14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3   </w:t>
      </w:r>
      <w:r>
        <w:rPr>
          <w:rFonts w:ascii="Calibri" w:cs="Calibri" w:eastAsia="Calibri" w:hAnsi="Calibri"/>
          <w:color w:val="0B1F3A"/>
          <w:sz w:val="22"/>
          <w:szCs w:val="22"/>
        </w:rPr>
        <w:t xml:space="preserve">Primer acceso</w:t>
      </w:r>
    </w:p>
    <w:p>
      <w:pPr>
        <w:tabs>
          <w:tab w:val="right" w:pos="9026" w:leader="dot"/>
        </w:tabs>
        <w:spacing w:after="14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4   </w:t>
      </w:r>
      <w:r>
        <w:rPr>
          <w:rFonts w:ascii="Calibri" w:cs="Calibri" w:eastAsia="Calibri" w:hAnsi="Calibri"/>
          <w:color w:val="0B1F3A"/>
          <w:sz w:val="22"/>
          <w:szCs w:val="22"/>
        </w:rPr>
        <w:t xml:space="preserve">Navegación general</w:t>
      </w:r>
    </w:p>
    <w:p>
      <w:pPr>
        <w:tabs>
          <w:tab w:val="right" w:pos="9026" w:leader="dot"/>
        </w:tabs>
        <w:spacing w:after="14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5   </w:t>
      </w:r>
      <w:r>
        <w:rPr>
          <w:rFonts w:ascii="Calibri" w:cs="Calibri" w:eastAsia="Calibri" w:hAnsi="Calibri"/>
          <w:color w:val="0B1F3A"/>
          <w:sz w:val="22"/>
          <w:szCs w:val="22"/>
        </w:rPr>
        <w:t xml:space="preserve">Módulos del sistema</w:t>
      </w:r>
    </w:p>
    <w:p>
      <w:pPr>
        <w:tabs>
          <w:tab w:val="right" w:pos="9026" w:leader="dot"/>
        </w:tabs>
        <w:spacing w:after="14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6   </w:t>
      </w:r>
      <w:r>
        <w:rPr>
          <w:rFonts w:ascii="Calibri" w:cs="Calibri" w:eastAsia="Calibri" w:hAnsi="Calibri"/>
          <w:color w:val="0B1F3A"/>
          <w:sz w:val="22"/>
          <w:szCs w:val="22"/>
        </w:rPr>
        <w:t xml:space="preserve">Pantallas — detalle completo</w:t>
      </w:r>
    </w:p>
    <w:p>
      <w:pPr>
        <w:tabs>
          <w:tab w:val="right" w:pos="9026" w:leader="dot"/>
        </w:tabs>
        <w:spacing w:after="14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7   </w:t>
      </w:r>
      <w:r>
        <w:rPr>
          <w:rFonts w:ascii="Calibri" w:cs="Calibri" w:eastAsia="Calibri" w:hAnsi="Calibri"/>
          <w:color w:val="0B1F3A"/>
          <w:sz w:val="22"/>
          <w:szCs w:val="22"/>
        </w:rPr>
        <w:t xml:space="preserve">Botones — catálogo completo</w:t>
      </w:r>
    </w:p>
    <w:p>
      <w:pPr>
        <w:tabs>
          <w:tab w:val="right" w:pos="9026" w:leader="dot"/>
        </w:tabs>
        <w:spacing w:after="14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8   </w:t>
      </w:r>
      <w:r>
        <w:rPr>
          <w:rFonts w:ascii="Calibri" w:cs="Calibri" w:eastAsia="Calibri" w:hAnsi="Calibri"/>
          <w:color w:val="0B1F3A"/>
          <w:sz w:val="22"/>
          <w:szCs w:val="22"/>
        </w:rPr>
        <w:t xml:space="preserve">Flujos completos, paso a paso</w:t>
      </w:r>
    </w:p>
    <w:p>
      <w:pPr>
        <w:tabs>
          <w:tab w:val="right" w:pos="9026" w:leader="dot"/>
        </w:tabs>
        <w:spacing w:after="14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9   </w:t>
      </w:r>
      <w:r>
        <w:rPr>
          <w:rFonts w:ascii="Calibri" w:cs="Calibri" w:eastAsia="Calibri" w:hAnsi="Calibri"/>
          <w:color w:val="0B1F3A"/>
          <w:sz w:val="22"/>
          <w:szCs w:val="22"/>
        </w:rPr>
        <w:t xml:space="preserve">Preguntas frecuentes</w:t>
      </w:r>
    </w:p>
    <w:p>
      <w:pPr>
        <w:tabs>
          <w:tab w:val="right" w:pos="9026" w:leader="dot"/>
        </w:tabs>
        <w:spacing w:after="14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10   </w:t>
      </w:r>
      <w:r>
        <w:rPr>
          <w:rFonts w:ascii="Calibri" w:cs="Calibri" w:eastAsia="Calibri" w:hAnsi="Calibri"/>
          <w:color w:val="0B1F3A"/>
          <w:sz w:val="22"/>
          <w:szCs w:val="22"/>
        </w:rPr>
        <w:t xml:space="preserve">Buenas prácticas y errores comunes</w:t>
      </w:r>
    </w:p>
    <w:p>
      <w:pPr>
        <w:tabs>
          <w:tab w:val="right" w:pos="9026" w:leader="dot"/>
        </w:tabs>
        <w:spacing w:after="14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11   </w:t>
      </w:r>
      <w:r>
        <w:rPr>
          <w:rFonts w:ascii="Calibri" w:cs="Calibri" w:eastAsia="Calibri" w:hAnsi="Calibri"/>
          <w:color w:val="0B1F3A"/>
          <w:sz w:val="22"/>
          <w:szCs w:val="22"/>
        </w:rPr>
        <w:t xml:space="preserve">Solución de problemas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200" w:right="1300" w:bottom="1200" w:left="13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34E" w:sz="10" w:space="8"/>
        </w:pBdr>
        <w:spacing w:after="200" w:before="520"/>
      </w:pPr>
      <w:r>
        <w:rPr>
          <w:rFonts w:ascii="Georgia" w:cs="Georgia" w:eastAsia="Georgia" w:hAnsi="Georgia"/>
          <w:b/>
          <w:bCs/>
          <w:color w:val="0B1F3A"/>
          <w:sz w:val="34"/>
          <w:szCs w:val="34"/>
        </w:rPr>
        <w:t xml:space="preserve">1. Introducción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1.1 Qué es ProcessOS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ProcessOS es la plataforma de trabajo que AICOUNTS Consultores utiliza para ejecutar proyectos de transformación y mejora de procesos junto a sus clientes. En ella se centraliza toda la documentación del proyecto, el descubrimiento de procesos asistido por inteligencia artificial, la generación de artefactos metodológicos — SIPOC, AS-IS, BPMN, RACI, entre otros — el historial de cambios y la simulación del impacto de negocio esperado.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1.2 Qué problema resuelve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Antes de una plataforma como esta, el trabajo de consultoría típicamente se dispersa entre correos, planillas y documentos sueltos, dificultando que el cliente sepa en qué fase va el proyecto o qué se espera de él. ProcessOS te da un lugar único donde cargar tu documentación, revisar lo que la inteligencia artificial detecta sobre tus procesos, aprobar o rechazar esos hallazgos, validar los artefactos generados y ver el impacto de negocio proyectado — todo con trazabilidad completa de quién hizo qué y cuándo.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1.3 A quién está dirigido este manual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Este manual está escrito para el rol Sponsor Cliente: la persona del lado del cliente que participa activamente en el proyecto — carga documentos, revisa y aprueba procesos, valida artefactos y consulta el avance. Otros roles de la plataforma tienen pantallas y permisos distintos, fuera del alcance de este documento.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1.4 Conceptos generales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Estos son los términos que vas a encontrar constantemente a lo largo del manual y de la plataforma:</w:t>
      </w:r>
    </w:p>
    <w:tbl>
      <w:tblPr>
        <w:tblW w:type="dxa" w:w="9350"/>
        <w:tblBorders>
          <w:top w:val="single" w:color="D6DBE1" w:sz="4"/>
          <w:left w:val="single" w:color="D6DBE1" w:sz="4"/>
          <w:bottom w:val="single" w:color="D6DBE1" w:sz="4"/>
          <w:right w:val="single" w:color="D6DBE1" w:sz="4"/>
          <w:insideH w:val="single" w:color="D6DBE1" w:sz="2"/>
          <w:insideV w:val="single" w:color="D6DBE1" w:sz="2"/>
        </w:tblBorders>
      </w:tblPr>
      <w:tblGrid>
        <w:gridCol w:w="3318"/>
        <w:gridCol w:w="6032"/>
      </w:tblGrid>
      <w:tr>
        <w:trPr>
          <w:tblHeader/>
        </w:trPr>
        <w:tc>
          <w:tcPr>
            <w:tcW w:type="dxa" w:w="3318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032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31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Macroproceso</w:t>
            </w:r>
          </w:p>
        </w:tc>
        <w:tc>
          <w:tcPr>
            <w:tcW w:type="dxa" w:w="603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 área de negocio completa (ej. Cadena de Suministro).</w:t>
            </w:r>
          </w:p>
        </w:tc>
      </w:tr>
      <w:tr>
        <w:tc>
          <w:tcPr>
            <w:tcW w:type="dxa" w:w="3318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Proceso</w:t>
            </w:r>
          </w:p>
        </w:tc>
        <w:tc>
          <w:tcPr>
            <w:tcW w:type="dxa" w:w="6032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Una actividad específica dentro de un macroproceso (ej. SC01 — Recepción de mercadería).</w:t>
            </w:r>
          </w:p>
        </w:tc>
      </w:tr>
      <w:tr>
        <w:tc>
          <w:tcPr>
            <w:tcW w:type="dxa" w:w="331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Artefacto</w:t>
            </w:r>
          </w:p>
        </w:tc>
        <w:tc>
          <w:tcPr>
            <w:tcW w:type="dxa" w:w="603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Cada documento metodológico generado por proceso: SIPOC, AS-IS, BPMN, RACI, etc.</w:t>
            </w:r>
          </w:p>
        </w:tc>
      </w:tr>
      <w:tr>
        <w:tc>
          <w:tcPr>
            <w:tcW w:type="dxa" w:w="3318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Fase</w:t>
            </w:r>
          </w:p>
        </w:tc>
        <w:tc>
          <w:tcPr>
            <w:tcW w:type="dxa" w:w="6032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Cada etapa del proyecto, con un objetivo y condición de avance propios (ver sección 5).</w:t>
            </w:r>
          </w:p>
        </w:tc>
      </w:tr>
      <w:tr>
        <w:tc>
          <w:tcPr>
            <w:tcW w:type="dxa" w:w="331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Versión</w:t>
            </w:r>
          </w:p>
        </w:tc>
        <w:tc>
          <w:tcPr>
            <w:tcW w:type="dxa" w:w="603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Cada cambio consolidado sobre un artefacto o proceso, numerado y con historial.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C9A34E" w:sz="10" w:space="8"/>
        </w:pBdr>
        <w:spacing w:after="200" w:before="520"/>
      </w:pPr>
      <w:r>
        <w:rPr>
          <w:rFonts w:ascii="Georgia" w:cs="Georgia" w:eastAsia="Georgia" w:hAnsi="Georgia"/>
          <w:b/>
          <w:bCs/>
          <w:color w:val="0B1F3A"/>
          <w:sz w:val="34"/>
          <w:szCs w:val="34"/>
        </w:rPr>
        <w:t xml:space="preserve">2. Requisitos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2.1 Navegador y resolución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Usa una versión reciente de Chrome, Safari, Edge o Firefox. La plataforma se adapta a pantallas desde 600px de ancho, aunque para revisar artefactos y documentos en detalle se recomienda un computador.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2.2 Tu rol y permisos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Tu cuenta tiene asignado el rol Sponsor Cliente. Este rol lo asigna un Super Administrador de AICOUNTS al crear tu cuenta — tú no puedes cambiarlo ni asignárselo a otra persona.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2.3 Acceso y credenciales</w:t>
      </w:r>
    </w:p>
    <w:tbl>
      <w:tblPr>
        <w:tblW w:type="pct" w:w="100%"/>
        <w:tblBorders>
          <w:top w:val="single" w:color="E5ECF8" w:sz="2"/>
          <w:left w:val="single" w:color="154EB8" w:sz="24"/>
          <w:bottom w:val="single" w:color="E5ECF8" w:sz="2"/>
          <w:right w:val="single" w:color="E5ECF8" w:sz="2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W w:type="pct" w:w="100%"/>
            <w:shd w:fill="E5EC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>🔗  </w:t>
            </w:r>
            <w:r>
              <w:rPr>
                <w:rFonts w:ascii="Calibri" w:cs="Calibri" w:eastAsia="Calibri" w:hAnsi="Calibri"/>
                <w:color w:val="0B1F3A"/>
                <w:sz w:val="20"/>
                <w:szCs w:val="20"/>
              </w:rPr>
              <w:t xml:space="preserve">URL de acceso: https://aplicativo-production.up.railway.app — guárdala en tus marcadores.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Tu consultor de AICOUNTS te entrega un correo electrónico (tu usuario) y una contraseña temporal por un canal separado, no a través de la plataforma. En tu primer ingreso deberás reemplazar esa contraseña temporal por una definitiva — ver sección 3.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2.4 Requisitos técnicos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Conexión a internet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estable.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Navegador web moderno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— ver 2.1.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No se requiere instalar ningún programa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— ProcessOS funciona completamente desde el navegador.</w:t>
      </w:r>
    </w:p>
    <w:p>
      <w:pPr>
        <w:spacing w:after="120"/>
      </w:pPr>
    </w:p>
    <w:p>
      <w:pPr>
        <w:pStyle w:val="Heading1"/>
        <w:pageBreakBefore/>
        <w:pBdr>
          <w:bottom w:val="single" w:color="C9A34E" w:sz="10" w:space="8"/>
        </w:pBdr>
        <w:spacing w:after="200" w:before="520"/>
      </w:pPr>
      <w:r>
        <w:rPr>
          <w:rFonts w:ascii="Georgia" w:cs="Georgia" w:eastAsia="Georgia" w:hAnsi="Georgia"/>
          <w:b/>
          <w:bCs/>
          <w:color w:val="0B1F3A"/>
          <w:sz w:val="34"/>
          <w:szCs w:val="34"/>
        </w:rPr>
        <w:t xml:space="preserve">3. Primer acceso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3.1 Cómo ingresar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Entra a la URL de acceso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 ingresa tu correo y la contraseña temporal recibida.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Pantalla "Crea tu contraseña"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el sistema te lleva ahí automáticamente — es obligatorio, no se puede omitir.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Define tu contraseña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debe cumplir los 5 requisitos de la tabla siguiente. El botón "Guardar y continuar" permanece deshabilitado hasta que todos estén en verde y ambas contraseñas coincidan.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Confirma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presiona "Guardar y continuar" — quedas dentro, en la pantalla Bienvenida.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Requisitos exactos de la nueva contraseña</w:t>
      </w:r>
    </w:p>
    <w:tbl>
      <w:tblPr>
        <w:tblW w:type="dxa" w:w="9350"/>
        <w:tblBorders>
          <w:top w:val="single" w:color="D6DBE1" w:sz="4"/>
          <w:left w:val="single" w:color="D6DBE1" w:sz="4"/>
          <w:bottom w:val="single" w:color="D6DBE1" w:sz="4"/>
          <w:right w:val="single" w:color="D6DBE1" w:sz="4"/>
          <w:insideH w:val="single" w:color="D6DBE1" w:sz="2"/>
          <w:insideV w:val="single" w:color="D6DBE1" w:sz="2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50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Regla exacta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Longitud mínima</w:t>
            </w:r>
          </w:p>
        </w:tc>
        <w:tc>
          <w:tcPr>
            <w:tcW w:type="dxa" w:w="60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8 caracteres o más</w:t>
            </w:r>
          </w:p>
        </w:tc>
      </w:tr>
      <w:tr>
        <w:tc>
          <w:tcPr>
            <w:tcW w:type="dxa" w:w="3300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Mayúscula</w:t>
            </w:r>
          </w:p>
        </w:tc>
        <w:tc>
          <w:tcPr>
            <w:tcW w:type="dxa" w:w="6050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Al menos una letra de A a Z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Minúscula</w:t>
            </w:r>
          </w:p>
        </w:tc>
        <w:tc>
          <w:tcPr>
            <w:tcW w:type="dxa" w:w="60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Al menos una letra de a a z</w:t>
            </w:r>
          </w:p>
        </w:tc>
      </w:tr>
      <w:tr>
        <w:tc>
          <w:tcPr>
            <w:tcW w:type="dxa" w:w="3300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Número</w:t>
            </w:r>
          </w:p>
        </w:tc>
        <w:tc>
          <w:tcPr>
            <w:tcW w:type="dxa" w:w="6050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Al menos un dígito de 0 a 9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Carácter especial</w:t>
            </w:r>
          </w:p>
        </w:tc>
        <w:tc>
          <w:tcPr>
            <w:tcW w:type="dxa" w:w="60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Al menos uno de: ! @ # $ % ^ &amp; * ( ) _ - + =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3.2 ¿Olvidaste tu contraseña?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En la pantalla de inicio de sesión, presiona "¿Olvidaste?" junto al campo de contraseña. Ingresa tu correo electrónico y recibirás un enlace para crear una nueva — no necesitas contactar a tu consultor para este paso. Por seguridad, el sistema muestra el mismo mensaje de confirmación exista o no una cuenta con ese correo.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3.3 Caducidad de la contraseña (90 días)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La plataforma exige renovar la contraseña cada 90 días desde el último cambio. Al cumplirse ese plazo, el sistema te redirige automáticamente a la pantalla "Crea tu contraseña" con el mensaje "Tu contraseña ha caducado" — repites el mismo procedimiento de la sección 3.1.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3.4 Expiración de sesión</w:t>
      </w:r>
    </w:p>
    <w:tbl>
      <w:tblPr>
        <w:tblW w:type="pct" w:w="100%"/>
        <w:tblBorders>
          <w:top w:val="single" w:color="F3F4F6" w:sz="2"/>
          <w:left w:val="single" w:color="6B7280" w:sz="24"/>
          <w:bottom w:val="single" w:color="F3F4F6" w:sz="2"/>
          <w:right w:val="single" w:color="F3F4F6" w:sz="2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>⏱  </w:t>
            </w:r>
            <w:r>
              <w:rPr>
                <w:rFonts w:ascii="Calibri" w:cs="Calibri" w:eastAsia="Calibri" w:hAnsi="Calibri"/>
                <w:color w:val="0B1F3A"/>
                <w:sz w:val="20"/>
                <w:szCs w:val="20"/>
              </w:rPr>
              <w:t xml:space="preserve">La plataforma cierra automáticamente tu sesión tras 2 horas de inactividad, redirigiéndote al login con un aviso de "sesión expirada" — no depende de que recuerdes cerrarla manualmente en un dispositivo compartido.</w:t>
            </w:r>
          </w:p>
        </w:tc>
      </w:tr>
    </w:tbl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3.5 Cómo cerrar sesión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Busca tu nombre en la esquina superior derecha de la pantalla y selecciona "Cerrar sesión".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3.6 Buenas prácticas de contraseña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No uses tu nombre ni fecha de nacimiento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en tu contraseña.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Nunca la compartas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— ni siquiera con soporte técnico de AICOUNTS.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Usa una contraseña distinta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 la que usas en otros servicios.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Cámbiala de inmediato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si sospechas que alguien más la conoce, sin esperar los 90 días.</w:t>
      </w:r>
    </w:p>
    <w:p>
      <w:pPr>
        <w:spacing w:after="120"/>
      </w:pPr>
    </w:p>
    <w:p>
      <w:pPr>
        <w:pStyle w:val="Heading1"/>
        <w:pageBreakBefore/>
        <w:pBdr>
          <w:bottom w:val="single" w:color="C9A34E" w:sz="10" w:space="8"/>
        </w:pBdr>
        <w:spacing w:after="200" w:before="520"/>
      </w:pPr>
      <w:r>
        <w:rPr>
          <w:rFonts w:ascii="Georgia" w:cs="Georgia" w:eastAsia="Georgia" w:hAnsi="Georgia"/>
          <w:b/>
          <w:bCs/>
          <w:color w:val="0B1F3A"/>
          <w:sz w:val="34"/>
          <w:szCs w:val="34"/>
        </w:rPr>
        <w:t xml:space="preserve">4. Navegación general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4.1 Menú principal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El menú lateral izquierdo está siempre visible en pantallas grandes; en pantallas pequeñas se convierte en un panel deslizable. Contiene, en este orden, para tu rol:</w:t>
      </w:r>
    </w:p>
    <w:tbl>
      <w:tblPr>
        <w:tblW w:type="dxa" w:w="9350"/>
        <w:tblBorders>
          <w:top w:val="single" w:color="D6DBE1" w:sz="4"/>
          <w:left w:val="single" w:color="D6DBE1" w:sz="4"/>
          <w:bottom w:val="single" w:color="D6DBE1" w:sz="4"/>
          <w:right w:val="single" w:color="D6DBE1" w:sz="4"/>
          <w:insideH w:val="single" w:color="D6DBE1" w:sz="2"/>
          <w:insideV w:val="single" w:color="D6DBE1" w:sz="2"/>
        </w:tblBorders>
      </w:tblPr>
      <w:tblGrid>
        <w:gridCol w:w="3506"/>
        <w:gridCol w:w="3506"/>
        <w:gridCol w:w="2338"/>
      </w:tblGrid>
      <w:tr>
        <w:trPr>
          <w:tblHeader/>
        </w:trPr>
        <w:tc>
          <w:tcPr>
            <w:tcW w:type="dxa" w:w="3506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506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338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350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Bienvenida</w:t>
            </w:r>
          </w:p>
        </w:tc>
        <w:tc>
          <w:tcPr>
            <w:tcW w:type="dxa" w:w="350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/bienvenida</w:t>
            </w:r>
          </w:p>
        </w:tc>
        <w:tc>
          <w:tcPr>
            <w:tcW w:type="dxa" w:w="23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Sin badge</w:t>
            </w:r>
          </w:p>
        </w:tc>
      </w:tr>
      <w:tr>
        <w:tc>
          <w:tcPr>
            <w:tcW w:type="dxa" w:w="350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Centro Documental</w:t>
            </w:r>
          </w:p>
        </w:tc>
        <w:tc>
          <w:tcPr>
            <w:tcW w:type="dxa" w:w="350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/documentos</w:t>
            </w:r>
          </w:p>
        </w:tc>
        <w:tc>
          <w:tcPr>
            <w:tcW w:type="dxa" w:w="2338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350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Process Discovery IA</w:t>
            </w:r>
          </w:p>
        </w:tc>
        <w:tc>
          <w:tcPr>
            <w:tcW w:type="dxa" w:w="350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/discovery</w:t>
            </w:r>
          </w:p>
        </w:tc>
        <w:tc>
          <w:tcPr>
            <w:tcW w:type="dxa" w:w="23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350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Artefactos</w:t>
            </w:r>
          </w:p>
        </w:tc>
        <w:tc>
          <w:tcPr>
            <w:tcW w:type="dxa" w:w="350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/artefactos</w:t>
            </w:r>
          </w:p>
        </w:tc>
        <w:tc>
          <w:tcPr>
            <w:tcW w:type="dxa" w:w="2338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350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Control de Versiones</w:t>
            </w:r>
          </w:p>
        </w:tc>
        <w:tc>
          <w:tcPr>
            <w:tcW w:type="dxa" w:w="350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/versiones</w:t>
            </w:r>
          </w:p>
        </w:tc>
        <w:tc>
          <w:tcPr>
            <w:tcW w:type="dxa" w:w="23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350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Horizonte de Impacto</w:t>
            </w:r>
          </w:p>
        </w:tc>
        <w:tc>
          <w:tcPr>
            <w:tcW w:type="dxa" w:w="350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/horizonte</w:t>
            </w:r>
          </w:p>
        </w:tc>
        <w:tc>
          <w:tcPr>
            <w:tcW w:type="dxa" w:w="2338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F5</w:t>
            </w:r>
          </w:p>
        </w:tc>
      </w:tr>
      <w:tr>
        <w:tc>
          <w:tcPr>
            <w:tcW w:type="dxa" w:w="350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3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Sin badge</w:t>
            </w:r>
          </w:p>
        </w:tc>
      </w:tr>
    </w:tbl>
    <w:p>
      <w:pPr>
        <w:spacing w:after="10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4.2 Barra superior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En la esquina superior derecha de cada pantalla se muestra tu nombre, tu rol ("Sponsor Cliente"), la campana de notificaciones y el acceso para cerrar sesión.</w:t>
      </w:r>
    </w:p>
    <w:tbl>
      <w:tblPr>
        <w:tblW w:type="pct" w:w="100%"/>
        <w:tblBorders>
          <w:top w:val="single" w:color="E5ECF8" w:sz="2"/>
          <w:left w:val="single" w:color="154EB8" w:sz="24"/>
          <w:bottom w:val="single" w:color="E5ECF8" w:sz="2"/>
          <w:right w:val="single" w:color="E5ECF8" w:sz="2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W w:type="pct" w:w="100%"/>
            <w:shd w:fill="E5EC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>🔔  </w:t>
            </w:r>
            <w:r>
              <w:rPr>
                <w:rFonts w:ascii="Calibri" w:cs="Calibri" w:eastAsia="Calibri" w:hAnsi="Calibri"/>
                <w:color w:val="0B1F3A"/>
                <w:sz w:val="20"/>
                <w:szCs w:val="20"/>
              </w:rPr>
              <w:t xml:space="preserve">Campana de notificaciones: muestra un contador cuando tienes novedades sin leer — cambios de estado, comentarios de tu consultor, alertas de un proceso. Un clic te lleva directo al proceso o artefacto correspondiente.</w:t>
            </w:r>
          </w:p>
        </w:tc>
      </w:tr>
    </w:tbl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4.3 Buscador y filtros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El buscador semántico, disponible en Centro Documental, encuentra información por significado dentro del contenido de tus documentos, no solo por coincidencia exacta de texto — detallado en la sección 6.2. Centro Documental también incluye un filtro de texto libre por nombre de archivo, en tiempo real.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4.4 Estados e indicadores visuales</w:t>
      </w:r>
    </w:p>
    <w:tbl>
      <w:tblPr>
        <w:tblW w:type="dxa" w:w="9350"/>
        <w:tblBorders>
          <w:top w:val="single" w:color="D6DBE1" w:sz="4"/>
          <w:left w:val="single" w:color="D6DBE1" w:sz="4"/>
          <w:bottom w:val="single" w:color="D6DBE1" w:sz="4"/>
          <w:right w:val="single" w:color="D6DBE1" w:sz="4"/>
          <w:insideH w:val="single" w:color="D6DBE1" w:sz="2"/>
          <w:insideV w:val="single" w:color="D6DBE1" w:sz="2"/>
        </w:tblBorders>
      </w:tblPr>
      <w:tblGrid>
        <w:gridCol w:w="4091"/>
        <w:gridCol w:w="5259"/>
      </w:tblGrid>
      <w:tr>
        <w:trPr>
          <w:tblHeader/>
        </w:trPr>
        <w:tc>
          <w:tcPr>
            <w:tcW w:type="dxa" w:w="4091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5259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4091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Pendiente / Procesando IA (ámbar)</w:t>
            </w:r>
          </w:p>
        </w:tc>
        <w:tc>
          <w:tcPr>
            <w:tcW w:type="dxa" w:w="525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Aún en proceso, requiere espera o tu acción</w:t>
            </w:r>
          </w:p>
        </w:tc>
      </w:tr>
      <w:tr>
        <w:tc>
          <w:tcPr>
            <w:tcW w:type="dxa" w:w="4091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Validado / Disponible (verde)</w:t>
            </w:r>
          </w:p>
        </w:tc>
        <w:tc>
          <w:tcPr>
            <w:tcW w:type="dxa" w:w="5259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Completado correctamente</w:t>
            </w:r>
          </w:p>
        </w:tc>
      </w:tr>
      <w:tr>
        <w:tc>
          <w:tcPr>
            <w:tcW w:type="dxa" w:w="4091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Publicado (azul)</w:t>
            </w:r>
          </w:p>
        </w:tc>
        <w:tc>
          <w:tcPr>
            <w:tcW w:type="dxa" w:w="525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Cerrado por el equipo consultor — ya no editable</w:t>
            </w:r>
          </w:p>
        </w:tc>
      </w:tr>
      <w:tr>
        <w:tc>
          <w:tcPr>
            <w:tcW w:type="dxa" w:w="4091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Error (rojo)</w:t>
            </w:r>
          </w:p>
        </w:tc>
        <w:tc>
          <w:tcPr>
            <w:tcW w:type="dxa" w:w="5259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Algo falló — requiere tu atención o la de tu consultor</w:t>
            </w:r>
          </w:p>
        </w:tc>
      </w:tr>
      <w:tr>
        <w:tc>
          <w:tcPr>
            <w:tcW w:type="dxa" w:w="4091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Bloqueada (gris, candado)</w:t>
            </w:r>
          </w:p>
        </w:tc>
        <w:tc>
          <w:tcPr>
            <w:tcW w:type="dxa" w:w="525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Aún no disponible — depende de un paso anterior</w:t>
            </w:r>
          </w:p>
        </w:tc>
      </w:tr>
      <w:tr>
        <w:tc>
          <w:tcPr>
            <w:tcW w:type="dxa" w:w="4091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Propuesta IA (violeta)</w:t>
            </w:r>
          </w:p>
        </w:tc>
        <w:tc>
          <w:tcPr>
            <w:tcW w:type="dxa" w:w="5259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Inferido por la IA sin respaldo documental directo</w:t>
            </w:r>
          </w:p>
        </w:tc>
      </w:tr>
    </w:tbl>
    <w:p>
      <w:pPr>
        <w:spacing w:after="10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4.5 Iconografía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Candado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la fase o acción está bloqueada.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Marca de verificación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la fase, artefacto o punto está completo/aprobado.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Reloj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algo está pendiente o en proceso.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Chevron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expande o contrae una sección.</w:t>
      </w:r>
    </w:p>
    <w:p>
      <w:pPr>
        <w:spacing w:after="120"/>
      </w:pPr>
    </w:p>
    <w:p>
      <w:pPr>
        <w:pStyle w:val="Heading1"/>
        <w:pageBreakBefore/>
        <w:pBdr>
          <w:bottom w:val="single" w:color="C9A34E" w:sz="10" w:space="8"/>
        </w:pBdr>
        <w:spacing w:after="200" w:before="520"/>
      </w:pPr>
      <w:r>
        <w:rPr>
          <w:rFonts w:ascii="Georgia" w:cs="Georgia" w:eastAsia="Georgia" w:hAnsi="Georgia"/>
          <w:b/>
          <w:bCs/>
          <w:color w:val="0B1F3A"/>
          <w:sz w:val="34"/>
          <w:szCs w:val="34"/>
        </w:rPr>
        <w:t xml:space="preserve">5. Módulos del sistema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Cada módulo corresponde a una pantalla del menú lateral. El detalle exhaustivo de cada uno está en la sección 6.</w:t>
      </w:r>
    </w:p>
    <w:tbl>
      <w:tblPr>
        <w:tblW w:type="dxa" w:w="9350"/>
        <w:tblBorders>
          <w:top w:val="single" w:color="D6DBE1" w:sz="4"/>
          <w:left w:val="single" w:color="D6DBE1" w:sz="4"/>
          <w:bottom w:val="single" w:color="D6DBE1" w:sz="4"/>
          <w:right w:val="single" w:color="D6DBE1" w:sz="4"/>
          <w:insideH w:val="single" w:color="D6DBE1" w:sz="2"/>
          <w:insideV w:val="single" w:color="D6DBE1" w:sz="2"/>
        </w:tblBorders>
      </w:tblPr>
      <w:tblGrid>
        <w:gridCol w:w="3273"/>
        <w:gridCol w:w="6078"/>
      </w:tblGrid>
      <w:tr>
        <w:trPr>
          <w:tblHeader/>
        </w:trPr>
        <w:tc>
          <w:tcPr>
            <w:tcW w:type="dxa" w:w="3273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078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27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Bienvenida</w:t>
            </w:r>
          </w:p>
        </w:tc>
        <w:tc>
          <w:tcPr>
            <w:tcW w:type="dxa" w:w="607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Tu resumen ejecutivo del proyecto y punto de partida cada vez que entras.</w:t>
            </w:r>
          </w:p>
        </w:tc>
      </w:tr>
      <w:tr>
        <w:tc>
          <w:tcPr>
            <w:tcW w:type="dxa" w:w="3273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Centro Documental</w:t>
            </w:r>
          </w:p>
        </w:tc>
        <w:tc>
          <w:tcPr>
            <w:tcW w:type="dxa" w:w="6078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El repositorio oficial: sube y consulta la documentación del proyecto.</w:t>
            </w:r>
          </w:p>
        </w:tc>
      </w:tr>
      <w:tr>
        <w:tc>
          <w:tcPr>
            <w:tcW w:type="dxa" w:w="327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Process Discovery IA</w:t>
            </w:r>
          </w:p>
        </w:tc>
        <w:tc>
          <w:tcPr>
            <w:tcW w:type="dxa" w:w="607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Revisa y decide sobre los procesos que la IA detecta a partir de tus documentos.</w:t>
            </w:r>
          </w:p>
        </w:tc>
      </w:tr>
      <w:tr>
        <w:tc>
          <w:tcPr>
            <w:tcW w:type="dxa" w:w="3273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Artefactos</w:t>
            </w:r>
          </w:p>
        </w:tc>
        <w:tc>
          <w:tcPr>
            <w:tcW w:type="dxa" w:w="6078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Revisa, edita y valida los 8 artefactos metodológicos por proceso aprobado.</w:t>
            </w:r>
          </w:p>
        </w:tc>
      </w:tr>
      <w:tr>
        <w:tc>
          <w:tcPr>
            <w:tcW w:type="dxa" w:w="327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Control de Versiones</w:t>
            </w:r>
          </w:p>
        </w:tc>
        <w:tc>
          <w:tcPr>
            <w:tcW w:type="dxa" w:w="607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El historial completo de cambios de artefactos y procesos.</w:t>
            </w:r>
          </w:p>
        </w:tc>
      </w:tr>
      <w:tr>
        <w:tc>
          <w:tcPr>
            <w:tcW w:type="dxa" w:w="3273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Horizonte de Impacto</w:t>
            </w:r>
          </w:p>
        </w:tc>
        <w:tc>
          <w:tcPr>
            <w:tcW w:type="dxa" w:w="6078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 el impacto de negocio esperado de las mejoras propuestas.</w:t>
            </w:r>
          </w:p>
        </w:tc>
      </w:tr>
      <w:tr>
        <w:tc>
          <w:tcPr>
            <w:tcW w:type="dxa" w:w="327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Dashboard</w:t>
            </w:r>
          </w:p>
        </w:tc>
        <w:tc>
          <w:tcPr>
            <w:tcW w:type="dxa" w:w="607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Tu mapa del proyecto completo, con las 5 fases y su estado.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C9A34E" w:sz="10" w:space="8"/>
        </w:pBdr>
        <w:spacing w:after="200" w:before="520"/>
      </w:pPr>
      <w:r>
        <w:rPr>
          <w:rFonts w:ascii="Georgia" w:cs="Georgia" w:eastAsia="Georgia" w:hAnsi="Georgia"/>
          <w:b/>
          <w:bCs/>
          <w:color w:val="0B1F3A"/>
          <w:sz w:val="34"/>
          <w:szCs w:val="34"/>
        </w:rPr>
        <w:t xml:space="preserve">6. Pantallas — detalle completo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Esta sección desarrolla cada pantalla que usarás como Sponsor Cliente: qué información muestra, cómo se usa, y qué encontrarás en cada una.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6.1 Bienvenida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Tu punto de partida cada vez que entras. Muestra el contexto del proyecto, los objetivos y el alcance (Incluye / Excluye) acordados con tu consultor, el equipo asignado, y un contador de artefactos generados con enlace directo. El botón "Continuar" / "Ir a [fase]" te lleva siempre a la fase activa del proyecto — cambia de destino automáticamente según lo que corresponda revisar.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6.2 Centro Documental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El repositorio oficial del proyecto. Para subir un documento: usa el botón de carga o arrastra el archivo, selecciónalo desde tu computador, y espera a que pase de "Procesando IA" a "Disponible" — de uno a varios minutos según el tamaño. Los documentos que subes tú quedan etiquetados "Cliente" y puedes eliminarlos; los que sube tu consultor quedan etiquetados "AICOUNTS", de solo lectura por trazabilidad del proyecto.</w:t>
      </w:r>
    </w:p>
    <w:tbl>
      <w:tblPr>
        <w:tblW w:type="pct" w:w="100%"/>
        <w:tblBorders>
          <w:top w:val="single" w:color="E5ECF8" w:sz="2"/>
          <w:left w:val="single" w:color="154EB8" w:sz="24"/>
          <w:bottom w:val="single" w:color="E5ECF8" w:sz="2"/>
          <w:right w:val="single" w:color="E5ECF8" w:sz="2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W w:type="pct" w:w="100%"/>
            <w:shd w:fill="E5EC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>🔎  </w:t>
            </w:r>
            <w:r>
              <w:rPr>
                <w:rFonts w:ascii="Calibri" w:cs="Calibri" w:eastAsia="Calibri" w:hAnsi="Calibri"/>
                <w:color w:val="0B1F3A"/>
                <w:sz w:val="20"/>
                <w:szCs w:val="20"/>
              </w:rPr>
              <w:t xml:space="preserve">Buscador semántico: encuentra información dentro del contenido de los documentos, no solo por nombre de archivo. Usa frases descriptivas ("riesgos de inventario") en vez de una sola palabra, para resultados más precisos.</w:t>
            </w:r>
          </w:p>
        </w:tc>
      </w:tr>
    </w:tbl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6.3 Process Discovery IA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La IA de AICOUNTS propone automáticamente el mapa de procesos de tu organización, agrupados por macroproceso. Al pie de cada proceso individual decides: "✓ Aceptar proceso" (pasa a formar parte oficial del proyecto) o "✕ Rechazar" (no aplica a tu organización). Un proceso marcado "✨ Propuesta IA" fue inferido sin respaldo documental directo — revísalo con más atención que uno marcado "📄 Detectado".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Una vez aprobado un proceso, puedes generar un plan de implementación (3 sub-pestañas: Antes / Durante / Después) y una proyección de impacto de negocio (4 pestañas: Mejoras, Escenarios, Roadmap, KPIs) — ambos con un botón dedicado dentro del proceso.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6.4 Artefactos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Ciclo de vida de un artefacto:  </w:t>
      </w: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1"/>
          <w:szCs w:val="21"/>
        </w:rPr>
        <w:t xml:space="preserve">Pendiente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   →   </w:t>
      </w: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1"/>
          <w:szCs w:val="21"/>
        </w:rPr>
        <w:t xml:space="preserve">Validado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   →   </w:t>
      </w:r>
      <w:r>
        <w:rPr>
          <w:rFonts w:ascii="Calibri" w:cs="Calibri" w:eastAsia="Calibri" w:hAnsi="Calibri"/>
          <w:b/>
          <w:bCs/>
          <w:i w:val="false"/>
          <w:iCs w:val="false"/>
          <w:color w:val="154EB8"/>
          <w:sz w:val="21"/>
          <w:szCs w:val="21"/>
        </w:rPr>
        <w:t xml:space="preserve">Publicado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Tú controlas el paso de Pendiente a Validado — es tu aprobación. El paso a Publicado lo gestiona tu consultor una vez cerrado el entregable. Mientras un artefacto no esté publicado, puedes editarlo directamente o pedirle a la IA sugerencias de mejora sobre un campo específico. Cada edición guardada crea una nueva versión numerada, visible después en Control de Versiones.</w:t>
      </w:r>
    </w:p>
    <w:tbl>
      <w:tblPr>
        <w:tblW w:type="pct" w:w="100%"/>
        <w:tblBorders>
          <w:top w:val="single" w:color="FEF3E2" w:sz="2"/>
          <w:left w:val="single" w:color="B45309" w:sz="24"/>
          <w:bottom w:val="single" w:color="FEF3E2" w:sz="2"/>
          <w:right w:val="single" w:color="FEF3E2" w:sz="2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W w:type="pct" w:w="100%"/>
            <w:shd w:fill="FEF3E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>⚠️  </w:t>
            </w:r>
            <w:r>
              <w:rPr>
                <w:rFonts w:ascii="Calibri" w:cs="Calibri" w:eastAsia="Calibri" w:hAnsi="Calibri"/>
                <w:color w:val="0B1F3A"/>
                <w:sz w:val="20"/>
                <w:szCs w:val="20"/>
              </w:rPr>
              <w:t xml:space="preserve">No existe un botón de "rechazar" a nivel de artefacto individual. Si un artefacto entero no corresponde, el rechazo se maneja a nivel de proceso, en Discovery.</w:t>
            </w:r>
          </w:p>
        </w:tc>
      </w:tr>
    </w:tbl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6.5 Control de Versiones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Cada versión muestra el tipo de cambio, el texto original citado y tu observación resaltada. El botón "Descargar" por versión: el documento Original abre el archivo fuente; las versiones consolidadas descargan un resumen de cambios.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6.6 Horizonte de Impacto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Simula el impacto de negocio esperado — tiempos, costos y capacidad liberada — de las mejoras propuestas. Es la vista pensada para compartir con tu comité ejecutivo.</w:t>
      </w:r>
    </w:p>
    <w:tbl>
      <w:tblPr>
        <w:tblW w:type="pct" w:w="100%"/>
        <w:tblBorders>
          <w:top w:val="single" w:color="FEF3E2" w:sz="2"/>
          <w:left w:val="single" w:color="B45309" w:sz="24"/>
          <w:bottom w:val="single" w:color="FEF3E2" w:sz="2"/>
          <w:right w:val="single" w:color="FEF3E2" w:sz="2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W w:type="pct" w:w="100%"/>
            <w:shd w:fill="FEF3E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>💾  </w:t>
            </w:r>
            <w:r>
              <w:rPr>
                <w:rFonts w:ascii="Calibri" w:cs="Calibri" w:eastAsia="Calibri" w:hAnsi="Calibri"/>
                <w:color w:val="0B1F3A"/>
                <w:sz w:val="20"/>
                <w:szCs w:val="20"/>
              </w:rPr>
              <w:t xml:space="preserve">Las simulaciones no quedan guardadas automáticamente — expórtalas o captúralas antes de salir de la pantalla si necesitas conservarlas.</w:t>
            </w:r>
          </w:p>
        </w:tc>
      </w:tr>
    </w:tbl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6.7 Dashboard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Tu mapa del proyecto completo. Al hacer clic en una tarjeta de fase no bloqueada, se expande mostrando su checklist específico — cada ítem con un círculo verde si está listo, o gris si falta. Solo una fase permanece expandida a la vez.</w:t>
      </w:r>
    </w:p>
    <w:p>
      <w:pPr>
        <w:pStyle w:val="Heading1"/>
        <w:pageBreakBefore/>
        <w:pBdr>
          <w:bottom w:val="single" w:color="C9A34E" w:sz="10" w:space="8"/>
        </w:pBdr>
        <w:spacing w:after="200" w:before="520"/>
      </w:pPr>
      <w:r>
        <w:rPr>
          <w:rFonts w:ascii="Georgia" w:cs="Georgia" w:eastAsia="Georgia" w:hAnsi="Georgia"/>
          <w:b/>
          <w:bCs/>
          <w:color w:val="0B1F3A"/>
          <w:sz w:val="34"/>
          <w:szCs w:val="34"/>
        </w:rPr>
        <w:t xml:space="preserve">7. Botones — catálogo completo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Cada botón real de tu rol, qué hace y cuándo usarlo — organizado por pantalla.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Bienvenida</w:t>
      </w:r>
    </w:p>
    <w:tbl>
      <w:tblPr>
        <w:tblW w:type="dxa" w:w="9350"/>
        <w:tblBorders>
          <w:top w:val="single" w:color="D6DBE1" w:sz="4"/>
          <w:left w:val="single" w:color="D6DBE1" w:sz="4"/>
          <w:bottom w:val="single" w:color="D6DBE1" w:sz="4"/>
          <w:right w:val="single" w:color="D6DBE1" w:sz="4"/>
          <w:insideH w:val="single" w:color="D6DBE1" w:sz="2"/>
          <w:insideV w:val="single" w:color="D6DBE1" w:sz="2"/>
        </w:tblBorders>
      </w:tblPr>
      <w:tblGrid>
        <w:gridCol w:w="2057"/>
        <w:gridCol w:w="3927"/>
        <w:gridCol w:w="3366"/>
      </w:tblGrid>
      <w:tr>
        <w:trPr>
          <w:tblHeader/>
        </w:trPr>
        <w:tc>
          <w:tcPr>
            <w:tcW w:type="dxa" w:w="2057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Botón</w:t>
            </w:r>
          </w:p>
        </w:tc>
        <w:tc>
          <w:tcPr>
            <w:tcW w:type="dxa" w:w="3927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3366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Cuándo usarlo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Encabezado de tarjeta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Expande/contrae el detalle del proyecto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Para ver u ocultar contexto, objetivos y equipo</w:t>
            </w:r>
          </w:p>
        </w:tc>
      </w:tr>
      <w:tr>
        <w:tc>
          <w:tcPr>
            <w:tcW w:type="dxa" w:w="205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"Ver →" en cada KPI</w:t>
            </w:r>
          </w:p>
        </w:tc>
        <w:tc>
          <w:tcPr>
            <w:tcW w:type="dxa" w:w="392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Navega a Documentos o Discovery</w:t>
            </w:r>
          </w:p>
        </w:tc>
        <w:tc>
          <w:tcPr>
            <w:tcW w:type="dxa" w:w="336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Cuando quieres actuar sobre ese indicador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"Continuar →"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Navega a la fase activa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Para avanzar en el trabajo del día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Centro Documental</w:t>
      </w:r>
    </w:p>
    <w:tbl>
      <w:tblPr>
        <w:tblW w:type="dxa" w:w="9350"/>
        <w:tblBorders>
          <w:top w:val="single" w:color="D6DBE1" w:sz="4"/>
          <w:left w:val="single" w:color="D6DBE1" w:sz="4"/>
          <w:bottom w:val="single" w:color="D6DBE1" w:sz="4"/>
          <w:right w:val="single" w:color="D6DBE1" w:sz="4"/>
          <w:insideH w:val="single" w:color="D6DBE1" w:sz="2"/>
          <w:insideV w:val="single" w:color="D6DBE1" w:sz="2"/>
        </w:tblBorders>
      </w:tblPr>
      <w:tblGrid>
        <w:gridCol w:w="2057"/>
        <w:gridCol w:w="3927"/>
        <w:gridCol w:w="3366"/>
      </w:tblGrid>
      <w:tr>
        <w:trPr>
          <w:tblHeader/>
        </w:trPr>
        <w:tc>
          <w:tcPr>
            <w:tcW w:type="dxa" w:w="2057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Botón</w:t>
            </w:r>
          </w:p>
        </w:tc>
        <w:tc>
          <w:tcPr>
            <w:tcW w:type="dxa" w:w="3927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3366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Cuándo usarlo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Botón de carga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Abre el selector de archivos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Para subir documentación nueva</w:t>
            </w:r>
          </w:p>
        </w:tc>
      </w:tr>
      <w:tr>
        <w:tc>
          <w:tcPr>
            <w:tcW w:type="dxa" w:w="205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"Buscar con IA"</w:t>
            </w:r>
          </w:p>
        </w:tc>
        <w:tc>
          <w:tcPr>
            <w:tcW w:type="dxa" w:w="392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Ejecuta el buscador semántico</w:t>
            </w:r>
          </w:p>
        </w:tc>
        <w:tc>
          <w:tcPr>
            <w:tcW w:type="dxa" w:w="336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Para encontrar información dentro del contenido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Ícono de descarga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Descarga el documento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Cuando necesitas el archivo original</w:t>
            </w:r>
          </w:p>
        </w:tc>
      </w:tr>
      <w:tr>
        <w:tc>
          <w:tcPr>
            <w:tcW w:type="dxa" w:w="205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Basurero</w:t>
            </w:r>
          </w:p>
        </w:tc>
        <w:tc>
          <w:tcPr>
            <w:tcW w:type="dxa" w:w="392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Elimina el documento</w:t>
            </w:r>
          </w:p>
        </w:tc>
        <w:tc>
          <w:tcPr>
            <w:tcW w:type="dxa" w:w="336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Solo en documentos que tú mismo subiste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"Re-analizar con IA"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Reprocesa el documento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 quedó mal clasificado o con error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Process Discovery IA</w:t>
      </w:r>
    </w:p>
    <w:tbl>
      <w:tblPr>
        <w:tblW w:type="dxa" w:w="9350"/>
        <w:tblBorders>
          <w:top w:val="single" w:color="D6DBE1" w:sz="4"/>
          <w:left w:val="single" w:color="D6DBE1" w:sz="4"/>
          <w:bottom w:val="single" w:color="D6DBE1" w:sz="4"/>
          <w:right w:val="single" w:color="D6DBE1" w:sz="4"/>
          <w:insideH w:val="single" w:color="D6DBE1" w:sz="2"/>
          <w:insideV w:val="single" w:color="D6DBE1" w:sz="2"/>
        </w:tblBorders>
      </w:tblPr>
      <w:tblGrid>
        <w:gridCol w:w="2057"/>
        <w:gridCol w:w="3927"/>
        <w:gridCol w:w="3366"/>
      </w:tblGrid>
      <w:tr>
        <w:trPr>
          <w:tblHeader/>
        </w:trPr>
        <w:tc>
          <w:tcPr>
            <w:tcW w:type="dxa" w:w="2057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Botón</w:t>
            </w:r>
          </w:p>
        </w:tc>
        <w:tc>
          <w:tcPr>
            <w:tcW w:type="dxa" w:w="3927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3366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Cuándo usarlo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"Analizar con IA"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Genera el diagnóstico ejecutivo del macroproceso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Antes de decidir sobre sus procesos</w:t>
            </w:r>
          </w:p>
        </w:tc>
      </w:tr>
      <w:tr>
        <w:tc>
          <w:tcPr>
            <w:tcW w:type="dxa" w:w="205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"✓ Aceptar proceso"</w:t>
            </w:r>
          </w:p>
        </w:tc>
        <w:tc>
          <w:tcPr>
            <w:tcW w:type="dxa" w:w="392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Aprueba el proceso</w:t>
            </w:r>
          </w:p>
        </w:tc>
        <w:tc>
          <w:tcPr>
            <w:tcW w:type="dxa" w:w="336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Cuando corresponde a tu organización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"✕ Rechazar"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Marca el proceso como no aplicable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Cuando no corresponde a tu organización</w:t>
            </w:r>
          </w:p>
        </w:tc>
      </w:tr>
      <w:tr>
        <w:tc>
          <w:tcPr>
            <w:tcW w:type="dxa" w:w="205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"Registrar observación"</w:t>
            </w:r>
          </w:p>
        </w:tc>
        <w:tc>
          <w:tcPr>
            <w:tcW w:type="dxa" w:w="392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Abre el cuadro de comentario</w:t>
            </w:r>
          </w:p>
        </w:tc>
        <w:tc>
          <w:tcPr>
            <w:tcW w:type="dxa" w:w="336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Para explicar cómo gestionas un hallazgo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"Generar plan"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Crea la hoja de ruta con IA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Cuando el proceso ya está aprobado</w:t>
            </w:r>
          </w:p>
        </w:tc>
      </w:tr>
      <w:tr>
        <w:tc>
          <w:tcPr>
            <w:tcW w:type="dxa" w:w="205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"Generar proyección"</w:t>
            </w:r>
          </w:p>
        </w:tc>
        <w:tc>
          <w:tcPr>
            <w:tcW w:type="dxa" w:w="392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Calcula el impacto de negocio</w:t>
            </w:r>
          </w:p>
        </w:tc>
        <w:tc>
          <w:tcPr>
            <w:tcW w:type="dxa" w:w="336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Cuando quieres ver el retorno estimado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"Analizar roles con IA"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Genera el Glosario de Roles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Cuando ya aceptaste al menos un proceso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Artefactos</w:t>
      </w:r>
    </w:p>
    <w:tbl>
      <w:tblPr>
        <w:tblW w:type="dxa" w:w="9350"/>
        <w:tblBorders>
          <w:top w:val="single" w:color="D6DBE1" w:sz="4"/>
          <w:left w:val="single" w:color="D6DBE1" w:sz="4"/>
          <w:bottom w:val="single" w:color="D6DBE1" w:sz="4"/>
          <w:right w:val="single" w:color="D6DBE1" w:sz="4"/>
          <w:insideH w:val="single" w:color="D6DBE1" w:sz="2"/>
          <w:insideV w:val="single" w:color="D6DBE1" w:sz="2"/>
        </w:tblBorders>
      </w:tblPr>
      <w:tblGrid>
        <w:gridCol w:w="2057"/>
        <w:gridCol w:w="3927"/>
        <w:gridCol w:w="3366"/>
      </w:tblGrid>
      <w:tr>
        <w:trPr>
          <w:tblHeader/>
        </w:trPr>
        <w:tc>
          <w:tcPr>
            <w:tcW w:type="dxa" w:w="2057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Botón</w:t>
            </w:r>
          </w:p>
        </w:tc>
        <w:tc>
          <w:tcPr>
            <w:tcW w:type="dxa" w:w="3927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3366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Cuándo usarlo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"Validar"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Pasa el artefacto a Validado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Cuando estás de acuerdo con el contenido</w:t>
            </w:r>
          </w:p>
        </w:tc>
      </w:tr>
      <w:tr>
        <w:tc>
          <w:tcPr>
            <w:tcW w:type="dxa" w:w="205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"Mejorar con IA"</w:t>
            </w:r>
          </w:p>
        </w:tc>
        <w:tc>
          <w:tcPr>
            <w:tcW w:type="dxa" w:w="392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Abre sugerencias de la IA</w:t>
            </w:r>
          </w:p>
        </w:tc>
        <w:tc>
          <w:tcPr>
            <w:tcW w:type="dxa" w:w="336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Cuando algo puede mejorarse en redacción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"Editar contenido"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Activa la edición manual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Cuando necesitas corregir un dato</w:t>
            </w:r>
          </w:p>
        </w:tc>
      </w:tr>
      <w:tr>
        <w:tc>
          <w:tcPr>
            <w:tcW w:type="dxa" w:w="205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"Guardar versión N+1"</w:t>
            </w:r>
          </w:p>
        </w:tc>
        <w:tc>
          <w:tcPr>
            <w:tcW w:type="dxa" w:w="392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Guarda tus cambios</w:t>
            </w:r>
          </w:p>
        </w:tc>
        <w:tc>
          <w:tcPr>
            <w:tcW w:type="dxa" w:w="336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Al terminar de editar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Ícono de descarga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Exporta el artefacto a PDF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Para compartir fuera de la plataforma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Horizonte de Impacto</w:t>
      </w:r>
    </w:p>
    <w:tbl>
      <w:tblPr>
        <w:tblW w:type="dxa" w:w="9350"/>
        <w:tblBorders>
          <w:top w:val="single" w:color="D6DBE1" w:sz="4"/>
          <w:left w:val="single" w:color="D6DBE1" w:sz="4"/>
          <w:bottom w:val="single" w:color="D6DBE1" w:sz="4"/>
          <w:right w:val="single" w:color="D6DBE1" w:sz="4"/>
          <w:insideH w:val="single" w:color="D6DBE1" w:sz="2"/>
          <w:insideV w:val="single" w:color="D6DBE1" w:sz="2"/>
        </w:tblBorders>
      </w:tblPr>
      <w:tblGrid>
        <w:gridCol w:w="2057"/>
        <w:gridCol w:w="3927"/>
        <w:gridCol w:w="3366"/>
      </w:tblGrid>
      <w:tr>
        <w:trPr>
          <w:tblHeader/>
        </w:trPr>
        <w:tc>
          <w:tcPr>
            <w:tcW w:type="dxa" w:w="2057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Botón</w:t>
            </w:r>
          </w:p>
        </w:tc>
        <w:tc>
          <w:tcPr>
            <w:tcW w:type="dxa" w:w="3927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3366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Cuándo usarlo</w:t>
            </w:r>
          </w:p>
        </w:tc>
      </w:tr>
      <w:t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"Proyectar impacto"</w:t>
            </w:r>
          </w:p>
        </w:tc>
        <w:tc>
          <w:tcPr>
            <w:tcW w:type="dxa" w:w="39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Genera la simulación</w:t>
            </w:r>
          </w:p>
        </w:tc>
        <w:tc>
          <w:tcPr>
            <w:tcW w:type="dxa" w:w="33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Cuando quieres ver el impacto estimado</w:t>
            </w:r>
          </w:p>
        </w:tc>
      </w:tr>
      <w:tr>
        <w:tc>
          <w:tcPr>
            <w:tcW w:type="dxa" w:w="205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"Nueva proyección"</w:t>
            </w:r>
          </w:p>
        </w:tc>
        <w:tc>
          <w:tcPr>
            <w:tcW w:type="dxa" w:w="392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Reinicia el simulador</w:t>
            </w:r>
          </w:p>
        </w:tc>
        <w:tc>
          <w:tcPr>
            <w:tcW w:type="dxa" w:w="3366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Para simular otro proceso</w:t>
            </w:r>
          </w:p>
        </w:tc>
      </w:tr>
    </w:tbl>
    <w:p>
      <w:pPr>
        <w:pStyle w:val="Heading1"/>
        <w:pageBreakBefore/>
        <w:pBdr>
          <w:bottom w:val="single" w:color="C9A34E" w:sz="10" w:space="8"/>
        </w:pBdr>
        <w:spacing w:after="200" w:before="520"/>
      </w:pPr>
      <w:r>
        <w:rPr>
          <w:rFonts w:ascii="Georgia" w:cs="Georgia" w:eastAsia="Georgia" w:hAnsi="Georgia"/>
          <w:b/>
          <w:bCs/>
          <w:color w:val="0B1F3A"/>
          <w:sz w:val="34"/>
          <w:szCs w:val="34"/>
        </w:rPr>
        <w:t xml:space="preserve">8. Flujos completos, paso a paso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374151"/>
          <w:sz w:val="21"/>
          <w:szCs w:val="21"/>
        </w:rPr>
        <w:t xml:space="preserve">Los flujos de trabajo reales de tu rol, sin resumir ningún paso.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8.1 Subir un documento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Entra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 Centro Documental desde el menú lateral.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Verifica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que el proyecto activo correcto esté seleccionado.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Carga el archivo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con el botón de carga, o arrastrándolo directamente a la zona de carga.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Espera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 que el documento pase de "Procesando IA" a "Disponible".</w:t>
      </w:r>
    </w:p>
    <w:p>
      <w:pPr>
        <w:spacing w:after="8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8.2 Editar un artefacto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Abre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el proceso correspondiente y entra al artefacto que quieres revisar.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Presiona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"Editar contenido" para habilitar los campos.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Modifica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el campo necesario según su tipo (texto, número, lista, matriz RACI, etc.).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Guarda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con "Guardar versión N+1" — se crea una nueva versión numerada.</w:t>
      </w:r>
    </w:p>
    <w:p>
      <w:pPr>
        <w:spacing w:after="8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8.3 Aprobar un proceso detectado por IA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Abre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el proceso en Process Discovery IA.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Revisa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el análisis completo: descripción, criticidad, riesgos y oportunidades.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Decide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presiona "✓ Aceptar proceso" si corresponde a tu organización.</w:t>
      </w:r>
    </w:p>
    <w:p>
      <w:pPr>
        <w:spacing w:after="8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8.4 Rechazar un proceso detectado por IA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Abre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el proceso y revisa el análisis.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Presiona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"✕ Rechazar" si no aplica a tu organización.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Resultado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el proceso queda marcado como rechazado, visible para tu consultor.</w:t>
      </w:r>
    </w:p>
    <w:p>
      <w:pPr>
        <w:spacing w:after="8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8.5 Validar un artefacto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Abre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el artefacto dentro de su proceso.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Lee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el contenido completo, no solo el título.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Corrige si hace falta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edítalo directamente o usa "Mejorar con IA".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Presiona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"Validar" — queda tu aprobación registrada.</w:t>
      </w:r>
    </w:p>
    <w:p>
      <w:pPr>
        <w:spacing w:after="8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8.6 Exportar un artefacto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Abre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el artefacto que necesitas compartir.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Presiona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el ícono de descarga — se abre una vista de impresión en pestaña nueva.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Guarda como PDF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desde el diálogo de impresión de tu navegador.</w:t>
      </w:r>
    </w:p>
    <w:p>
      <w:pPr>
        <w:spacing w:after="8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8.7 Buscar dentro de los documentos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Entra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 Centro Documental y usa "Buscar con IA".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Escribe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una frase descriptiva, no solo una palabra suelta.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Revisa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los resultados filtrados con sus distintivos de coincidencia.</w:t>
      </w:r>
    </w:p>
    <w:p>
      <w:pPr>
        <w:spacing w:after="8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8.8 Cerrar sesión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Busca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tu nombre en la esquina superior derecha.</w:t>
      </w:r>
    </w:p>
    <w:p>
      <w:pPr>
        <w:spacing w:after="130" w:line="300"/>
        <w:ind w:left="360" w:hanging="360"/>
      </w:pPr>
      <w:r>
        <w:rPr>
          <w:rFonts w:ascii="Calibri" w:cs="Calibri" w:eastAsia="Calibri" w:hAnsi="Calibri"/>
          <w:b/>
          <w:bCs/>
          <w:color w:val="154EB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Selecciona —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"Cerrar sesión" — siempre, si usas un computador compartido.</w:t>
      </w:r>
    </w:p>
    <w:p>
      <w:pPr>
        <w:spacing w:after="80"/>
      </w:pPr>
    </w:p>
    <w:p>
      <w:pPr>
        <w:pStyle w:val="Heading1"/>
        <w:pageBreakBefore/>
        <w:pBdr>
          <w:bottom w:val="single" w:color="C9A34E" w:sz="10" w:space="8"/>
        </w:pBdr>
        <w:spacing w:after="200" w:before="520"/>
      </w:pPr>
      <w:r>
        <w:rPr>
          <w:rFonts w:ascii="Georgia" w:cs="Georgia" w:eastAsia="Georgia" w:hAnsi="Georgia"/>
          <w:b/>
          <w:bCs/>
          <w:color w:val="0B1F3A"/>
          <w:sz w:val="34"/>
          <w:szCs w:val="34"/>
        </w:rPr>
        <w:t xml:space="preserve">9. Preguntas frecuentes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¿Cuántos intentos tengo para iniciar sesión antes de que se bloquee mi cuenta?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Tres intentos fallidos consecutivos. Al tercero, tu cuenta queda bloqueada y solo un Super Administrador de AICOUNTS puede desbloquearla.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Olvidé mi contraseña, ¿cómo la recupero yo mismo?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Sí puedes — en la pantalla de inicio de sesión presiona "¿Olvidaste?" junto al campo de contraseña, ingresa tu correo y sigue el enlace que te llega. Si no llega (revisa spam) o el problema persiste, contacta a tu consultor.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¿Hay un límite de tamaño para los archivos que subo?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No hay un límite estricto. Aun así, evita archivos extremadamente grandes, ya que pueden tardar más en cargar y procesar.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Subí un documento y no aparece nada en Discovery.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Discovery solo usa documentos con estado "Disponible". Si el tuyo sigue en "Procesando IA", espera unos minutos y refresca. Si queda en "Error", contacta a tu consultor.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¿Puedo eliminar un documento que subió AICOUNTS por error?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No — los documentos internos son de solo lectura para tu rol, por trazabilidad del proyecto. Pide a tu consultor que lo elimine o reemplace.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Validé un artefacto por error, ¿puedo deshacerlo?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Contacta a tu consultor — puede revertir el estado desde su vista. Mientras el artefacto no esté "Publicado", sigue siendo editable.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¿Qué significa el distintivo "✨ Propuesta IA" en un proceso?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Que la IA lo infirió sin respaldo documental directo — revísalo con más atención antes de aceptarlo, comparado con uno marcado "📄 Detectado".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¿Qué es la matriz RACI que veo al editar un artefacto?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 = Responsable de ejecutar, A = Aprobador, C = Consultado, I = Informado. Cada celda cicla entre estas opciones al hacer clic.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¿Se guarda la simulación de Horizonte de Impacto que genero?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No — cada simulación se genera en vivo y no queda almacenada. Expórtala o captúrala antes de salir de la pantalla si necesitas conservarla.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Acepté un proceso en Discovery pero no veo sus artefactos, ¿qué hago?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Es normal — aceptar un proceso no genera sus 8 artefactos automáticamente. Esa generación la ejecuta tu consultor como un paso separado. Espera un tiempo prudente y, si no aparecen, contáctalo.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¿Por qué algunas secciones del menú no las veo?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Tu rol (Sponsor Cliente) tiene acceso a Bienvenida, Centro Documental, Discovery, Artefactos, Versiones, Horizonte de Impacto y Dashboard. El resto es de uso exclusivo del equipo consultor.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C9A34E"/>
          <w:sz w:val="22"/>
          <w:szCs w:val="22"/>
        </w:rPr>
        <w:t xml:space="preserve">?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¿Puedo usar ProcessOS desde el celular?</w:t>
      </w:r>
    </w:p>
    <w:p>
      <w:pPr>
        <w:spacing w:after="60" w:line="290"/>
        <w:ind w:left="2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Sí, la plataforma se adapta a pantallas pequeñas, aunque para revisar artefactos y documentos en detalle se recomienda usar un computador.</w:t>
      </w:r>
    </w:p>
    <w:p>
      <w:pPr>
        <w:pStyle w:val="Heading1"/>
        <w:pageBreakBefore/>
        <w:pBdr>
          <w:bottom w:val="single" w:color="C9A34E" w:sz="10" w:space="8"/>
        </w:pBdr>
        <w:spacing w:after="200" w:before="520"/>
      </w:pPr>
      <w:r>
        <w:rPr>
          <w:rFonts w:ascii="Georgia" w:cs="Georgia" w:eastAsia="Georgia" w:hAnsi="Georgia"/>
          <w:b/>
          <w:bCs/>
          <w:color w:val="0B1F3A"/>
          <w:sz w:val="34"/>
          <w:szCs w:val="34"/>
        </w:rPr>
        <w:t xml:space="preserve">10. Buenas prácticas y errores comunes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10.1 Buenas prácticas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Revisa el diagnóstico ejecutivo de la IA en Discovery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antes de aceptar o rechazar un proceso — no decidas solo por el nombre.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Escribe observaciones claras y específicas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al registrar hallazgos — quedan documentadas permanentemente en el historial.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Revisa el contenido completo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antes de validar un artefacto, no solo el título.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Exporta o captura las simulaciones de Horizonte de Impacto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que quieras conservar, ya que no se guardan solas.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Cambia tu contraseña de inmediato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si sospechas que alguien más la conoce, sin esperar los 90 días.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Usa el buscador semántico con frases descriptivas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en vez de una sola palabra, para resultados más precisos.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10.2 Errores comunes a evitar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Esperar que un documento recién subido aparezca de inmediato en Discovery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— primero debe terminar de procesarse (estado "Disponible").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Buscar "eliminar" en un documento subido por AICOUNTS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— no vas a encontrar esa opción, es intencional.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Cerrar la pestaña de Horizonte de Impacto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sin guardar o exportar el resultado, asumiendo que quedará disponible después.</w:t>
      </w:r>
    </w:p>
    <w:p>
      <w:pPr>
        <w:spacing w:after="90" w:line="290"/>
        <w:ind w:left="360" w:hanging="220"/>
      </w:pPr>
      <w:r>
        <w:rPr>
          <w:rFonts w:ascii="Calibri" w:cs="Calibri" w:eastAsia="Calibri" w:hAnsi="Calibri"/>
          <w:b/>
          <w:bCs/>
          <w:color w:val="C9A34E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Dejar el campo de observación vacío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al intentar registrar un hallazgo — el sistema no lo permite.</w:t>
      </w:r>
    </w:p>
    <w:p>
      <w:pPr>
        <w:pStyle w:val="Heading1"/>
        <w:pageBreakBefore/>
        <w:pBdr>
          <w:bottom w:val="single" w:color="C9A34E" w:sz="10" w:space="8"/>
        </w:pBdr>
        <w:spacing w:after="200" w:before="520"/>
      </w:pPr>
      <w:r>
        <w:rPr>
          <w:rFonts w:ascii="Georgia" w:cs="Georgia" w:eastAsia="Georgia" w:hAnsi="Georgia"/>
          <w:b/>
          <w:bCs/>
          <w:color w:val="0B1F3A"/>
          <w:sz w:val="34"/>
          <w:szCs w:val="34"/>
        </w:rPr>
        <w:t xml:space="preserve">11. Solución de problemas</w:t>
      </w:r>
    </w:p>
    <w:tbl>
      <w:tblPr>
        <w:tblW w:type="dxa" w:w="9350"/>
        <w:tblBorders>
          <w:top w:val="single" w:color="D6DBE1" w:sz="4"/>
          <w:left w:val="single" w:color="D6DBE1" w:sz="4"/>
          <w:bottom w:val="single" w:color="D6DBE1" w:sz="4"/>
          <w:right w:val="single" w:color="D6DBE1" w:sz="4"/>
          <w:insideH w:val="single" w:color="D6DBE1" w:sz="2"/>
          <w:insideV w:val="single" w:color="D6DBE1" w:sz="2"/>
        </w:tblBorders>
      </w:tblPr>
      <w:tblGrid>
        <w:gridCol w:w="3697"/>
        <w:gridCol w:w="5653"/>
      </w:tblGrid>
      <w:tr>
        <w:trPr>
          <w:tblHeader/>
        </w:trPr>
        <w:tc>
          <w:tcPr>
            <w:tcW w:type="dxa" w:w="3697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 ocurre esto…</w:t>
            </w:r>
          </w:p>
        </w:tc>
        <w:tc>
          <w:tcPr>
            <w:tcW w:type="dxa" w:w="5653"/>
            <w:shd w:fill="0B1F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…haz esto</w:t>
            </w:r>
          </w:p>
        </w:tc>
      </w:tr>
      <w:tr>
        <w:tc>
          <w:tcPr>
            <w:tcW w:type="dxa" w:w="369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 puedo iniciar sesión y no sé por qué</w:t>
            </w:r>
          </w:p>
        </w:tc>
        <w:tc>
          <w:tcPr>
            <w:tcW w:type="dxa" w:w="565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Verifica que el correo y la contraseña estén bien escritos. Si el mensaje indica intentos agotados, tu cuenta puede estar bloqueada — ver fila siguiente.</w:t>
            </w:r>
          </w:p>
        </w:tc>
      </w:tr>
      <w:tr>
        <w:tc>
          <w:tcPr>
            <w:tcW w:type="dxa" w:w="369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Mi cuenta está bloqueada</w:t>
            </w:r>
          </w:p>
        </w:tc>
        <w:tc>
          <w:tcPr>
            <w:tcW w:type="dxa" w:w="5653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Contacta a un Super Administrador de AICOUNTS — solo ellos pueden desbloquearla.</w:t>
            </w:r>
          </w:p>
        </w:tc>
      </w:tr>
      <w:tr>
        <w:tc>
          <w:tcPr>
            <w:tcW w:type="dxa" w:w="369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Olvidé mi contraseña</w:t>
            </w:r>
          </w:p>
        </w:tc>
        <w:tc>
          <w:tcPr>
            <w:tcW w:type="dxa" w:w="565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Presiona "¿Olvidaste?" en el login e ingresa tu correo — recibirás un enlace de recuperación.</w:t>
            </w:r>
          </w:p>
        </w:tc>
      </w:tr>
      <w:tr>
        <w:tc>
          <w:tcPr>
            <w:tcW w:type="dxa" w:w="369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 documento lleva mucho tiempo "Procesando IA"</w:t>
            </w:r>
          </w:p>
        </w:tc>
        <w:tc>
          <w:tcPr>
            <w:tcW w:type="dxa" w:w="5653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 lleva más de 6 horas, el sistema lo marca como "Posible error — tarda mucho". Avisa a tu consultor.</w:t>
            </w:r>
          </w:p>
        </w:tc>
      </w:tr>
      <w:tr>
        <w:tc>
          <w:tcPr>
            <w:tcW w:type="dxa" w:w="369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 puedo eliminar un documento</w:t>
            </w:r>
          </w:p>
        </w:tc>
        <w:tc>
          <w:tcPr>
            <w:tcW w:type="dxa" w:w="565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Verifica el distintivo: si dice "AICOUNTS", es de solo lectura para tu rol por diseño.</w:t>
            </w:r>
          </w:p>
        </w:tc>
      </w:tr>
      <w:tr>
        <w:tc>
          <w:tcPr>
            <w:tcW w:type="dxa" w:w="369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 puedo editar un artefacto</w:t>
            </w:r>
          </w:p>
        </w:tc>
        <w:tc>
          <w:tcPr>
            <w:tcW w:type="dxa" w:w="5653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Verifica su estado: si está "Publicado", ya no es editable para tu rol — contacta a tu consultor.</w:t>
            </w:r>
          </w:p>
        </w:tc>
      </w:tr>
      <w:tr>
        <w:tc>
          <w:tcPr>
            <w:tcW w:type="dxa" w:w="369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La página se ve en blanco o rota</w:t>
            </w:r>
          </w:p>
        </w:tc>
        <w:tc>
          <w:tcPr>
            <w:tcW w:type="dxa" w:w="565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Recarga la página. Si persiste, cierra sesión y vuelve a entrar, o prueba en modo incógnito.</w:t>
            </w:r>
          </w:p>
        </w:tc>
      </w:tr>
      <w:tr>
        <w:tc>
          <w:tcPr>
            <w:tcW w:type="dxa" w:w="3697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El botón "Guardar y continuar" está deshabilitado</w:t>
            </w:r>
          </w:p>
        </w:tc>
        <w:tc>
          <w:tcPr>
            <w:tcW w:type="dxa" w:w="5653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Revisa el checklist de requisitos — todos deben estar en verde, y ambas contraseñas deben coincidir.</w:t>
            </w:r>
          </w:p>
        </w:tc>
      </w:tr>
      <w:tr>
        <w:tc>
          <w:tcPr>
            <w:tcW w:type="dxa" w:w="369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 veo Automation Studio, Analytics u otras herramientas</w:t>
            </w:r>
          </w:p>
        </w:tc>
        <w:tc>
          <w:tcPr>
            <w:tcW w:type="dxa" w:w="565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Es esperado — son exclusivas del equipo interno de AICOUNTS, no de tu rol.</w:t>
            </w:r>
          </w:p>
        </w:tc>
      </w:tr>
    </w:tbl>
    <w:p>
      <w:pPr>
        <w:spacing w:after="26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1F3A"/>
          <w:sz w:val="24"/>
          <w:szCs w:val="24"/>
        </w:rPr>
        <w:t xml:space="preserve">¿Necesitas ayuda?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Escribe directamente a tu consultor de AICOUNTS — </w:t>
      </w: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1"/>
          <w:szCs w:val="21"/>
        </w:rPr>
        <w:t xml:space="preserve">Daniel Plaza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54EB8"/>
          <w:sz w:val="21"/>
          <w:szCs w:val="21"/>
        </w:rPr>
        <w:t xml:space="preserve">daniel.plaza@aicounts.cl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 — para cualquier duda, contraseña olvidada o problema técnico durante el proyecto.</w:t>
      </w:r>
    </w:p>
    <w:sectPr>
      <w:headerReference w:type="default" r:id="rId11"/>
      <w:footerReference w:type="default" r:id="rId12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BE1" w:sz="4" w:space="6"/>
      </w:pBdr>
      <w:tabs>
        <w:tab w:val="right" w:pos="9350"/>
      </w:tabs>
    </w:pPr>
    <w:r>
      <w:rPr>
        <w:rFonts w:ascii="Calibri" w:cs="Calibri" w:eastAsia="Calibri" w:hAnsi="Calibri"/>
        <w:color w:val="6B7280"/>
        <w:sz w:val="15"/>
        <w:szCs w:val="15"/>
      </w:rPr>
      <w:t xml:space="preserve">AICOUNTS Consultores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6B7280"/>
        <w:sz w:val="15"/>
        <w:szCs w:val="15"/>
      </w:rPr>
      <w:t xml:space="preserve">Página </w:t>
    </w:r>
    <w:r>
      <w:rPr>
        <w:rFonts w:ascii="Calibri" w:cs="Calibri" w:eastAsia="Calibri" w:hAnsi="Calibri"/>
        <w:b/>
        <w:bCs/>
        <w:color w:val="C9A34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de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BE1" w:sz="4" w:space="6"/>
      </w:pBdr>
      <w:tabs>
        <w:tab w:val="right" w:pos="9350"/>
      </w:tabs>
    </w:pPr>
    <w:r>
      <w:rPr>
        <w:rFonts w:ascii="Calibri" w:cs="Calibri" w:eastAsia="Calibri" w:hAnsi="Calibri"/>
        <w:color w:val="6B7280"/>
        <w:sz w:val="15"/>
        <w:szCs w:val="15"/>
      </w:rPr>
      <w:t xml:space="preserve">AICOUNTS Consultores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6B7280"/>
        <w:sz w:val="15"/>
        <w:szCs w:val="15"/>
      </w:rPr>
      <w:t xml:space="preserve">Página </w:t>
    </w:r>
    <w:r>
      <w:rPr>
        <w:rFonts w:ascii="Calibri" w:cs="Calibri" w:eastAsia="Calibri" w:hAnsi="Calibri"/>
        <w:b/>
        <w:bCs/>
        <w:color w:val="C9A34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de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BE1" w:sz="4" w:space="6"/>
      </w:pBd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ProcessOS  ·  Manual de Usuario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BE1" w:sz="4" w:space="6"/>
      </w:pBd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ProcessOS  · 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2026-07-15T23:32:25.209Z</dcterms:created>
  <dcterms:modified xsi:type="dcterms:W3CDTF">2026-07-15T23:32:25.213Z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