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.feed{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float: 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background-color: gray;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border-color: black;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z-index: -1;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box-shadow: 1em 1em 5em black;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width: 40%;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margin-top: 0.8em;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.sm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float: right;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background-color: #BABABA;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width: 20%;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.header{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background-color: #2b2b2b;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h1{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font-size: 60px;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h1, h2{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 #2B2B2B;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.navbar{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width:100%;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text-align:center;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 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.navbar li{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float: left;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background-color:#EB1676;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width:16.8%;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margin:0;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/*li:first-child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margin-left:;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li:nth-child(2)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background-color:#6EBF4B;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background-color:#F68D29;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li:nth-child(4)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background-color:#00A7E1;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li:nth-child(5)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background-color:#7774B6;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font-size:19.5px;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 ul li:hover{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background-color:yellow;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color:#00A7E1;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display:block;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transition: all .6s;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 ul li:active{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box-shadow: 1em 1em 5em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.text{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font-family: 'Merriweather', serif;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font size: 18;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color: black;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padding: 1em;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width: 55%;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box-shadow: 1em 1em 5em black;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margin-top: 6em;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h3{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